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A347" w14:textId="1767DC0F" w:rsidR="00C35FDA" w:rsidRDefault="00D72789" w:rsidP="00DE4D66">
      <w:pPr>
        <w:pStyle w:val="Heading2"/>
        <w:spacing w:line="240" w:lineRule="auto"/>
        <w:jc w:val="center"/>
      </w:pPr>
      <w:r>
        <w:t>Georgia Society of CPAs</w:t>
      </w:r>
    </w:p>
    <w:p w14:paraId="0671F09D" w14:textId="1EC14474" w:rsidR="00D72789" w:rsidRPr="00C858E4" w:rsidRDefault="00D72789" w:rsidP="00DE4D66">
      <w:pPr>
        <w:spacing w:line="240" w:lineRule="auto"/>
        <w:jc w:val="center"/>
        <w:rPr>
          <w:b/>
          <w:bCs/>
        </w:rPr>
      </w:pPr>
      <w:r w:rsidRPr="00C858E4">
        <w:rPr>
          <w:b/>
          <w:bCs/>
        </w:rPr>
        <w:t>Annual Report on Oversight</w:t>
      </w:r>
    </w:p>
    <w:p w14:paraId="7503B66D" w14:textId="7F252BF6" w:rsidR="00C35FDA" w:rsidRPr="00BC607F" w:rsidRDefault="00C35FDA" w:rsidP="003122B8">
      <w:pPr>
        <w:spacing w:after="0" w:line="240" w:lineRule="auto"/>
        <w:jc w:val="center"/>
        <w:rPr>
          <w:b/>
        </w:rPr>
      </w:pPr>
      <w:r w:rsidRPr="00C858E4">
        <w:rPr>
          <w:b/>
        </w:rPr>
        <w:t xml:space="preserve">Issued </w:t>
      </w:r>
      <w:r w:rsidR="00E2495A">
        <w:rPr>
          <w:b/>
        </w:rPr>
        <w:t>February 13, 2026</w:t>
      </w:r>
    </w:p>
    <w:p w14:paraId="2A7A796C" w14:textId="77777777" w:rsidR="00C35FDA" w:rsidRDefault="00C35FDA" w:rsidP="003122B8">
      <w:pPr>
        <w:spacing w:after="0" w:line="240" w:lineRule="auto"/>
        <w:jc w:val="center"/>
        <w:rPr>
          <w:b/>
          <w:sz w:val="28"/>
          <w:szCs w:val="28"/>
        </w:rPr>
      </w:pPr>
    </w:p>
    <w:p w14:paraId="3790E799" w14:textId="651B2C0D" w:rsidR="00C35FDA" w:rsidRDefault="00C35FDA" w:rsidP="003122B8">
      <w:pPr>
        <w:pStyle w:val="Heading3"/>
      </w:pPr>
      <w:bookmarkStart w:id="0" w:name="_Toc17105452"/>
      <w:r w:rsidRPr="00BC607F">
        <w:t>I.</w:t>
      </w:r>
      <w:r w:rsidRPr="00BC607F">
        <w:tab/>
      </w:r>
      <w:r>
        <w:t>Administering Entity Oversight Process and Procedure</w:t>
      </w:r>
      <w:bookmarkEnd w:id="0"/>
      <w:r w:rsidR="00D61FE0">
        <w:t>s</w:t>
      </w:r>
      <w:r>
        <w:t xml:space="preserve"> </w:t>
      </w:r>
    </w:p>
    <w:p w14:paraId="7A802E81" w14:textId="77777777" w:rsidR="00442AEA" w:rsidRPr="00442AEA" w:rsidRDefault="00C35FDA" w:rsidP="003122B8">
      <w:pPr>
        <w:spacing w:after="0" w:line="240" w:lineRule="auto"/>
        <w:jc w:val="left"/>
        <w:rPr>
          <w:b/>
          <w:bCs/>
        </w:rPr>
      </w:pPr>
      <w:r>
        <w:rPr>
          <w:b/>
        </w:rPr>
        <w:tab/>
      </w:r>
      <w:r w:rsidR="00442AEA" w:rsidRPr="00442AEA">
        <w:rPr>
          <w:b/>
          <w:bCs/>
        </w:rPr>
        <w:t>Oversight of Peer Reviews and Reviewers</w:t>
      </w:r>
    </w:p>
    <w:p w14:paraId="22851303" w14:textId="67EC858A" w:rsidR="00442AEA" w:rsidRDefault="00442AEA" w:rsidP="003122B8">
      <w:pPr>
        <w:spacing w:after="0" w:line="240" w:lineRule="auto"/>
        <w:ind w:left="720"/>
        <w:jc w:val="left"/>
      </w:pPr>
      <w:r>
        <w:t xml:space="preserve">The Georgia Society of CPAs Peer Review Committee selects various peer reviews for oversight. The selections are made randomly or are based on </w:t>
      </w:r>
      <w:r w:rsidR="001B15E6">
        <w:t xml:space="preserve">(but not limited to) </w:t>
      </w:r>
      <w:r>
        <w:t xml:space="preserve">suggestions from the </w:t>
      </w:r>
      <w:r w:rsidR="00F12CCB">
        <w:t xml:space="preserve">(RAB) </w:t>
      </w:r>
      <w:r>
        <w:t>Report Acceptance Bod</w:t>
      </w:r>
      <w:r w:rsidR="00860AE2">
        <w:t>y Committee and are usually based</w:t>
      </w:r>
      <w:r>
        <w:t xml:space="preserve"> </w:t>
      </w:r>
      <w:r w:rsidR="001B15E6">
        <w:t>the committee’s</w:t>
      </w:r>
      <w:r>
        <w:t xml:space="preserve"> concerns </w:t>
      </w:r>
      <w:r w:rsidR="001B15E6">
        <w:t>about</w:t>
      </w:r>
      <w:r>
        <w:t xml:space="preserve"> a reviewer or a firm.</w:t>
      </w:r>
    </w:p>
    <w:p w14:paraId="361147AA" w14:textId="77777777" w:rsidR="00442AEA" w:rsidRDefault="00442AEA" w:rsidP="003122B8">
      <w:pPr>
        <w:spacing w:after="0" w:line="240" w:lineRule="auto"/>
        <w:ind w:left="720"/>
        <w:jc w:val="left"/>
      </w:pPr>
    </w:p>
    <w:p w14:paraId="66370F36" w14:textId="4091D7D1" w:rsidR="00442AEA" w:rsidRPr="00442AEA" w:rsidRDefault="00442AEA" w:rsidP="003122B8">
      <w:pPr>
        <w:spacing w:after="0" w:line="240" w:lineRule="auto"/>
        <w:ind w:left="720"/>
        <w:jc w:val="left"/>
        <w:rPr>
          <w:b/>
          <w:bCs/>
        </w:rPr>
      </w:pPr>
      <w:r w:rsidRPr="00442AEA">
        <w:rPr>
          <w:b/>
          <w:bCs/>
        </w:rPr>
        <w:t>Firms</w:t>
      </w:r>
    </w:p>
    <w:p w14:paraId="24C3F7C6" w14:textId="7C0F0B68" w:rsidR="001B15E6" w:rsidRDefault="00442AEA" w:rsidP="003122B8">
      <w:pPr>
        <w:spacing w:after="0" w:line="240" w:lineRule="auto"/>
        <w:ind w:left="720"/>
        <w:jc w:val="left"/>
      </w:pPr>
      <w:r>
        <w:t xml:space="preserve">The selection of firms to be reviewed is based on </w:t>
      </w:r>
      <w:r w:rsidR="003D559C">
        <w:t>several</w:t>
      </w:r>
      <w:r>
        <w:t xml:space="preserve"> factors including</w:t>
      </w:r>
      <w:r w:rsidR="001B15E6">
        <w:t xml:space="preserve"> (</w:t>
      </w:r>
      <w:r>
        <w:t>but not limited to</w:t>
      </w:r>
      <w:r w:rsidR="001B15E6">
        <w:t>)</w:t>
      </w:r>
      <w:r>
        <w:t xml:space="preserve"> </w:t>
      </w:r>
    </w:p>
    <w:p w14:paraId="1C2E2747" w14:textId="77777777" w:rsidR="001B15E6" w:rsidRDefault="001B15E6" w:rsidP="003122B8">
      <w:pPr>
        <w:spacing w:after="0" w:line="240" w:lineRule="auto"/>
        <w:ind w:left="1080"/>
        <w:jc w:val="left"/>
      </w:pPr>
      <w:r>
        <w:t>1. Previous non-pass reports</w:t>
      </w:r>
      <w:r w:rsidR="00442AEA">
        <w:t xml:space="preserve"> </w:t>
      </w:r>
    </w:p>
    <w:p w14:paraId="40272EFC" w14:textId="36CC182F" w:rsidR="001B15E6" w:rsidRDefault="001B15E6" w:rsidP="003122B8">
      <w:pPr>
        <w:spacing w:after="0" w:line="240" w:lineRule="auto"/>
        <w:ind w:left="1080"/>
        <w:jc w:val="left"/>
      </w:pPr>
      <w:r>
        <w:t xml:space="preserve">2. </w:t>
      </w:r>
      <w:r w:rsidR="00860AE2">
        <w:t>If this is the</w:t>
      </w:r>
      <w:r w:rsidR="00442AEA">
        <w:t xml:space="preserve"> firm’s </w:t>
      </w:r>
      <w:r w:rsidR="00DB075C">
        <w:t>initial</w:t>
      </w:r>
      <w:r w:rsidR="00442AEA">
        <w:t xml:space="preserve"> system review</w:t>
      </w:r>
      <w:r>
        <w:t xml:space="preserve"> </w:t>
      </w:r>
    </w:p>
    <w:p w14:paraId="694F8280" w14:textId="21E407AF" w:rsidR="00442AEA" w:rsidRDefault="001B15E6" w:rsidP="003122B8">
      <w:pPr>
        <w:spacing w:after="0" w:line="240" w:lineRule="auto"/>
        <w:ind w:left="1260" w:hanging="180"/>
        <w:jc w:val="left"/>
      </w:pPr>
      <w:r>
        <w:t>3.</w:t>
      </w:r>
      <w:r w:rsidR="00860AE2">
        <w:t>If t</w:t>
      </w:r>
      <w:r w:rsidR="00442AEA">
        <w:t xml:space="preserve">he firm conducts engagements in </w:t>
      </w:r>
      <w:r w:rsidR="00860AE2">
        <w:t>high-risk</w:t>
      </w:r>
      <w:r w:rsidR="00442AEA">
        <w:t xml:space="preserve"> industries.</w:t>
      </w:r>
    </w:p>
    <w:p w14:paraId="562CC774" w14:textId="77777777" w:rsidR="00442AEA" w:rsidRDefault="00442AEA" w:rsidP="003122B8">
      <w:pPr>
        <w:spacing w:after="0" w:line="240" w:lineRule="auto"/>
        <w:ind w:left="720"/>
        <w:jc w:val="left"/>
      </w:pPr>
    </w:p>
    <w:p w14:paraId="2A4E5A51" w14:textId="4FF71D53" w:rsidR="00442AEA" w:rsidRPr="00442AEA" w:rsidRDefault="00442AEA" w:rsidP="003122B8">
      <w:pPr>
        <w:spacing w:after="0" w:line="240" w:lineRule="auto"/>
        <w:ind w:left="720"/>
        <w:jc w:val="left"/>
        <w:rPr>
          <w:b/>
          <w:bCs/>
        </w:rPr>
      </w:pPr>
      <w:r w:rsidRPr="00442AEA">
        <w:rPr>
          <w:b/>
          <w:bCs/>
        </w:rPr>
        <w:t>Reviewers</w:t>
      </w:r>
    </w:p>
    <w:p w14:paraId="205B5F9B" w14:textId="64BEAED1" w:rsidR="001B15E6" w:rsidRDefault="00442AEA" w:rsidP="003122B8">
      <w:pPr>
        <w:spacing w:after="0" w:line="240" w:lineRule="auto"/>
        <w:ind w:left="720"/>
        <w:jc w:val="left"/>
      </w:pPr>
      <w:r>
        <w:t xml:space="preserve">All peer reviewers are subject to </w:t>
      </w:r>
      <w:r w:rsidR="00860AE2">
        <w:t>oversight,</w:t>
      </w:r>
      <w:r>
        <w:t xml:space="preserve"> and they may be selected based on </w:t>
      </w:r>
      <w:r w:rsidR="00860AE2">
        <w:t>several</w:t>
      </w:r>
      <w:r>
        <w:t xml:space="preserve"> factors</w:t>
      </w:r>
      <w:r w:rsidR="001B15E6">
        <w:t xml:space="preserve"> </w:t>
      </w:r>
      <w:r>
        <w:t xml:space="preserve">including </w:t>
      </w:r>
      <w:r w:rsidR="001B15E6">
        <w:t xml:space="preserve">(but not limited to) </w:t>
      </w:r>
    </w:p>
    <w:p w14:paraId="70CF0B45" w14:textId="08A98F2B" w:rsidR="001B15E6" w:rsidRDefault="001B15E6" w:rsidP="003122B8">
      <w:pPr>
        <w:pStyle w:val="ListParagraph"/>
        <w:numPr>
          <w:ilvl w:val="0"/>
          <w:numId w:val="13"/>
        </w:numPr>
        <w:spacing w:after="0" w:line="240" w:lineRule="auto"/>
        <w:ind w:left="1350" w:hanging="270"/>
        <w:jc w:val="left"/>
      </w:pPr>
      <w:r>
        <w:t>R</w:t>
      </w:r>
      <w:r w:rsidR="00442AEA">
        <w:t>andom selection</w:t>
      </w:r>
    </w:p>
    <w:p w14:paraId="74CCA05D" w14:textId="77777777" w:rsidR="001B15E6" w:rsidRDefault="001B15E6" w:rsidP="003122B8">
      <w:pPr>
        <w:pStyle w:val="ListParagraph"/>
        <w:numPr>
          <w:ilvl w:val="0"/>
          <w:numId w:val="13"/>
        </w:numPr>
        <w:spacing w:after="0" w:line="240" w:lineRule="auto"/>
        <w:ind w:left="1350" w:hanging="270"/>
        <w:jc w:val="left"/>
      </w:pPr>
      <w:r>
        <w:t>F</w:t>
      </w:r>
      <w:r w:rsidR="00442AEA">
        <w:t>requent submission of pass reports</w:t>
      </w:r>
      <w:r>
        <w:t xml:space="preserve"> with no MFCs or FFCs</w:t>
      </w:r>
      <w:r w:rsidR="00442AEA">
        <w:t xml:space="preserve"> </w:t>
      </w:r>
    </w:p>
    <w:p w14:paraId="645140BF" w14:textId="556CEE6F" w:rsidR="001B15E6" w:rsidRDefault="001B15E6" w:rsidP="003122B8">
      <w:pPr>
        <w:pStyle w:val="ListParagraph"/>
        <w:numPr>
          <w:ilvl w:val="0"/>
          <w:numId w:val="13"/>
        </w:numPr>
        <w:spacing w:after="0" w:line="240" w:lineRule="auto"/>
        <w:ind w:left="1350" w:hanging="270"/>
        <w:jc w:val="left"/>
      </w:pPr>
      <w:r>
        <w:t>C</w:t>
      </w:r>
      <w:r w:rsidR="00442AEA">
        <w:t xml:space="preserve">onducting a significant number of reviews for firms with audits in </w:t>
      </w:r>
      <w:r w:rsidR="00860AE2">
        <w:t>high-risk</w:t>
      </w:r>
      <w:r w:rsidR="00442AEA">
        <w:t xml:space="preserve"> industries</w:t>
      </w:r>
    </w:p>
    <w:p w14:paraId="6EF79CEB" w14:textId="77777777" w:rsidR="001B15E6" w:rsidRDefault="001B15E6" w:rsidP="003122B8">
      <w:pPr>
        <w:pStyle w:val="ListParagraph"/>
        <w:numPr>
          <w:ilvl w:val="0"/>
          <w:numId w:val="13"/>
        </w:numPr>
        <w:spacing w:after="0" w:line="240" w:lineRule="auto"/>
        <w:ind w:left="1350" w:hanging="270"/>
        <w:jc w:val="left"/>
      </w:pPr>
      <w:r>
        <w:t>P</w:t>
      </w:r>
      <w:r w:rsidR="00442AEA">
        <w:t>erformance of their first peer review</w:t>
      </w:r>
    </w:p>
    <w:p w14:paraId="4AB76027" w14:textId="77777777" w:rsidR="001B15E6" w:rsidRDefault="001B15E6" w:rsidP="003122B8">
      <w:pPr>
        <w:pStyle w:val="ListParagraph"/>
        <w:numPr>
          <w:ilvl w:val="0"/>
          <w:numId w:val="13"/>
        </w:numPr>
        <w:spacing w:after="0" w:line="240" w:lineRule="auto"/>
        <w:ind w:left="1350" w:hanging="270"/>
        <w:jc w:val="left"/>
      </w:pPr>
      <w:r>
        <w:t>P</w:t>
      </w:r>
      <w:r w:rsidR="00442AEA">
        <w:t>erforming high volumes of review</w:t>
      </w:r>
      <w:r>
        <w:t>s</w:t>
      </w:r>
    </w:p>
    <w:p w14:paraId="3A225FF4" w14:textId="77777777" w:rsidR="00E222F3" w:rsidRDefault="001B15E6" w:rsidP="003122B8">
      <w:pPr>
        <w:pStyle w:val="ListParagraph"/>
        <w:numPr>
          <w:ilvl w:val="0"/>
          <w:numId w:val="13"/>
        </w:numPr>
        <w:spacing w:after="0" w:line="240" w:lineRule="auto"/>
        <w:ind w:left="1350" w:hanging="270"/>
        <w:jc w:val="left"/>
      </w:pPr>
      <w:r>
        <w:t>A high volume of reviewer feedback</w:t>
      </w:r>
    </w:p>
    <w:p w14:paraId="21F20925" w14:textId="6981F860" w:rsidR="00442AEA" w:rsidRDefault="001B15E6" w:rsidP="003122B8">
      <w:pPr>
        <w:pStyle w:val="ListParagraph"/>
        <w:numPr>
          <w:ilvl w:val="0"/>
          <w:numId w:val="13"/>
        </w:numPr>
        <w:spacing w:after="0" w:line="240" w:lineRule="auto"/>
        <w:ind w:left="1350" w:hanging="270"/>
        <w:jc w:val="left"/>
      </w:pPr>
      <w:r>
        <w:t>P</w:t>
      </w:r>
      <w:r w:rsidR="00442AEA">
        <w:t>erformance deficiencies or a history of performance deficiencies</w:t>
      </w:r>
      <w:r w:rsidR="00E222F3">
        <w:t xml:space="preserve">. </w:t>
      </w:r>
    </w:p>
    <w:p w14:paraId="2E3DF7DC" w14:textId="77777777" w:rsidR="00E222F3" w:rsidRDefault="00E222F3" w:rsidP="003122B8">
      <w:pPr>
        <w:pStyle w:val="ListParagraph"/>
        <w:spacing w:after="0" w:line="240" w:lineRule="auto"/>
        <w:jc w:val="left"/>
      </w:pPr>
    </w:p>
    <w:p w14:paraId="5E2E3B31" w14:textId="0EEC7FDD" w:rsidR="00442AEA" w:rsidRPr="00442AEA" w:rsidRDefault="00442AEA" w:rsidP="003122B8">
      <w:pPr>
        <w:spacing w:after="0" w:line="240" w:lineRule="auto"/>
        <w:ind w:left="720"/>
        <w:jc w:val="left"/>
        <w:rPr>
          <w:b/>
          <w:bCs/>
        </w:rPr>
      </w:pPr>
      <w:r w:rsidRPr="00442AEA">
        <w:rPr>
          <w:b/>
          <w:bCs/>
        </w:rPr>
        <w:t>Oversight Process</w:t>
      </w:r>
    </w:p>
    <w:p w14:paraId="15034309" w14:textId="64204596" w:rsidR="00C35FDA" w:rsidRDefault="00442AEA" w:rsidP="003122B8">
      <w:pPr>
        <w:spacing w:after="0" w:line="240" w:lineRule="auto"/>
        <w:ind w:left="720"/>
        <w:jc w:val="left"/>
      </w:pPr>
      <w:r>
        <w:t>A</w:t>
      </w:r>
      <w:r w:rsidR="00FD405B">
        <w:t xml:space="preserve">n active </w:t>
      </w:r>
      <w:r w:rsidR="00DB075C">
        <w:t>member</w:t>
      </w:r>
      <w:r w:rsidR="00FD405B">
        <w:t xml:space="preserve"> in the </w:t>
      </w:r>
      <w:r>
        <w:t xml:space="preserve">Georgia Society of CPAs Peer Review </w:t>
      </w:r>
      <w:r w:rsidR="00FD405B">
        <w:t>program</w:t>
      </w:r>
      <w:r>
        <w:t xml:space="preserve"> </w:t>
      </w:r>
      <w:r w:rsidR="00E0435A">
        <w:t xml:space="preserve">or a contracted technical reviewer </w:t>
      </w:r>
      <w:r>
        <w:t xml:space="preserve">performs oversight </w:t>
      </w:r>
      <w:r w:rsidR="00E222F3">
        <w:t xml:space="preserve">of </w:t>
      </w:r>
      <w:r>
        <w:t>engagements. For a system review and must-select engagement oversights,</w:t>
      </w:r>
      <w:r w:rsidR="00DB075C">
        <w:t xml:space="preserve"> </w:t>
      </w:r>
      <w:r>
        <w:t>members must have team captain experience</w:t>
      </w:r>
      <w:r w:rsidR="00E222F3">
        <w:t xml:space="preserve"> and high risk industry experience, if applicable</w:t>
      </w:r>
      <w:r>
        <w:t>. Selection of the oversight reviewer is on a volunteer basis. If there are no volunteers, The Georgia Society of CPAs Peer Review Executive Committee will appoint a member to complete the oversight.</w:t>
      </w:r>
    </w:p>
    <w:p w14:paraId="2BA3426F" w14:textId="079F69EF" w:rsidR="00680C60" w:rsidRDefault="00680C60" w:rsidP="003122B8">
      <w:pPr>
        <w:spacing w:after="0" w:line="240" w:lineRule="auto"/>
        <w:ind w:left="720"/>
        <w:jc w:val="left"/>
      </w:pPr>
      <w:r w:rsidRPr="00680C60">
        <w:t>All oversight reviewers are paid by The Georgia Society of CPAs at the maximum technical reviewer administrative rate. For on-site reviews, the rate is applied from door-to-door. The current IRS mileage rate and other incidental expenses are reimbursed in addition to the hourly rate.</w:t>
      </w:r>
    </w:p>
    <w:p w14:paraId="758D3C0E" w14:textId="3BD0655A" w:rsidR="00680C60" w:rsidRDefault="00680C60" w:rsidP="003122B8">
      <w:pPr>
        <w:spacing w:after="0" w:line="240" w:lineRule="auto"/>
        <w:ind w:left="720"/>
        <w:jc w:val="left"/>
      </w:pPr>
      <w:r w:rsidRPr="00680C60">
        <w:t xml:space="preserve">The AICPA Peer Review Program Oversight checklists are </w:t>
      </w:r>
      <w:r w:rsidR="004D3AE6">
        <w:t>available on the AICPA peer review website.</w:t>
      </w:r>
      <w:r w:rsidRPr="00680C60">
        <w:t xml:space="preserve"> Oversight reports are uploaded into </w:t>
      </w:r>
      <w:r>
        <w:t xml:space="preserve">the AICPA’s </w:t>
      </w:r>
      <w:r w:rsidRPr="00680C60">
        <w:t>PRIMA (Peer Review In</w:t>
      </w:r>
      <w:r>
        <w:t>tegrated Management Application) system.</w:t>
      </w:r>
      <w:r w:rsidRPr="00680C60">
        <w:t xml:space="preserve"> The final report is prepared on the reviewer’s letterhead and submitted to The Georgia Society of CPAs Peer Review Executive Committee. The reviewer may respond </w:t>
      </w:r>
      <w:r w:rsidR="004D3AE6">
        <w:t xml:space="preserve">and make corrections as deemed necessary. </w:t>
      </w:r>
    </w:p>
    <w:p w14:paraId="5BCDB059" w14:textId="1E05B9E7" w:rsidR="006F74E9" w:rsidRDefault="006F74E9" w:rsidP="003122B8">
      <w:pPr>
        <w:spacing w:after="0" w:line="240" w:lineRule="auto"/>
        <w:ind w:left="720"/>
        <w:jc w:val="left"/>
      </w:pPr>
    </w:p>
    <w:p w14:paraId="5B6DBE10" w14:textId="77777777" w:rsidR="004D3AE6" w:rsidRDefault="004D3AE6" w:rsidP="003122B8">
      <w:pPr>
        <w:spacing w:after="0" w:line="240" w:lineRule="auto"/>
        <w:ind w:left="720"/>
        <w:jc w:val="left"/>
        <w:rPr>
          <w:b/>
          <w:bCs/>
        </w:rPr>
      </w:pPr>
    </w:p>
    <w:p w14:paraId="577C2B0B" w14:textId="52C14480" w:rsidR="006F74E9" w:rsidRPr="006F74E9" w:rsidRDefault="006F74E9" w:rsidP="003122B8">
      <w:pPr>
        <w:spacing w:after="0" w:line="240" w:lineRule="auto"/>
        <w:ind w:left="720"/>
        <w:jc w:val="left"/>
        <w:rPr>
          <w:b/>
          <w:bCs/>
        </w:rPr>
      </w:pPr>
      <w:r w:rsidRPr="006F74E9">
        <w:rPr>
          <w:b/>
          <w:bCs/>
        </w:rPr>
        <w:t xml:space="preserve">Minimum Requirements </w:t>
      </w:r>
    </w:p>
    <w:p w14:paraId="477615DC" w14:textId="01E73D74" w:rsidR="00AF1B9A" w:rsidRPr="00AF1B9A" w:rsidRDefault="006F74E9" w:rsidP="003122B8">
      <w:pPr>
        <w:spacing w:after="0" w:line="240" w:lineRule="auto"/>
        <w:ind w:left="720"/>
        <w:jc w:val="left"/>
        <w:rPr>
          <w:i/>
          <w:iCs/>
          <w:sz w:val="18"/>
          <w:szCs w:val="18"/>
        </w:rPr>
      </w:pPr>
      <w:r w:rsidRPr="00C858E4">
        <w:t>In 202</w:t>
      </w:r>
      <w:r w:rsidR="00186A33">
        <w:t>5</w:t>
      </w:r>
      <w:r w:rsidRPr="00C858E4">
        <w:t xml:space="preserve">, The Georgia Society of CPAs was required to conduct minimal oversight on </w:t>
      </w:r>
      <w:r w:rsidR="00C858E4" w:rsidRPr="00C858E4">
        <w:t>2</w:t>
      </w:r>
      <w:r w:rsidRPr="00C858E4">
        <w:t xml:space="preserve">% of all reviews performed in a </w:t>
      </w:r>
      <w:r w:rsidR="003D559C" w:rsidRPr="00C858E4">
        <w:t>twelve-month</w:t>
      </w:r>
      <w:r w:rsidRPr="00C858E4">
        <w:t xml:space="preserve"> period of time and within the </w:t>
      </w:r>
      <w:r w:rsidR="00C858E4" w:rsidRPr="00C858E4">
        <w:t>2</w:t>
      </w:r>
      <w:r w:rsidRPr="00C858E4">
        <w:t xml:space="preserve">% selected, there must be at least </w:t>
      </w:r>
      <w:r w:rsidR="00C858E4" w:rsidRPr="00C858E4">
        <w:t>two</w:t>
      </w:r>
      <w:r w:rsidRPr="00C858E4">
        <w:t xml:space="preserve"> of each type of peer review evaluated (system and engagement reviews).   </w:t>
      </w:r>
      <w:r w:rsidR="00AF1B9A" w:rsidRPr="00C858E4">
        <w:rPr>
          <w:i/>
          <w:iCs/>
          <w:sz w:val="18"/>
          <w:szCs w:val="18"/>
        </w:rPr>
        <w:t>* See section III for details on oversights performed</w:t>
      </w:r>
    </w:p>
    <w:p w14:paraId="6F764997" w14:textId="18317277" w:rsidR="006F74E9" w:rsidRDefault="006F74E9" w:rsidP="003122B8">
      <w:pPr>
        <w:spacing w:after="0" w:line="240" w:lineRule="auto"/>
        <w:ind w:left="720"/>
        <w:jc w:val="left"/>
      </w:pPr>
    </w:p>
    <w:p w14:paraId="0E69C419" w14:textId="77777777" w:rsidR="006F74E9" w:rsidRPr="006F74E9" w:rsidRDefault="006F74E9" w:rsidP="003122B8">
      <w:pPr>
        <w:spacing w:after="0" w:line="240" w:lineRule="auto"/>
        <w:ind w:left="720"/>
        <w:jc w:val="left"/>
        <w:rPr>
          <w:b/>
          <w:bCs/>
        </w:rPr>
      </w:pPr>
      <w:r w:rsidRPr="006F74E9">
        <w:rPr>
          <w:b/>
          <w:bCs/>
        </w:rPr>
        <w:t xml:space="preserve">Administrative Oversight </w:t>
      </w:r>
    </w:p>
    <w:p w14:paraId="3072F833" w14:textId="77777777" w:rsidR="00A800F3" w:rsidRDefault="006F74E9" w:rsidP="003122B8">
      <w:pPr>
        <w:spacing w:after="0" w:line="240" w:lineRule="auto"/>
        <w:ind w:left="720"/>
        <w:jc w:val="left"/>
      </w:pPr>
      <w:r>
        <w:t>GSCPA participates in the annual AICPA Plan of Administration review and benchmark reporting</w:t>
      </w:r>
      <w:r w:rsidR="00DB075C">
        <w:t xml:space="preserve"> three times per year</w:t>
      </w:r>
      <w:r>
        <w:t xml:space="preserve"> which allows the AICPA and GSCPA’s peer review executive committee to monitor </w:t>
      </w:r>
      <w:r>
        <w:lastRenderedPageBreak/>
        <w:t>administrative procedures. Additionally, the GSCPA peer review executive committee receives updates on peer review statistics that includ</w:t>
      </w:r>
      <w:r w:rsidR="004D3AE6">
        <w:t>e (</w:t>
      </w:r>
      <w:r>
        <w:t>but are not limited to</w:t>
      </w:r>
      <w:r w:rsidR="004D3AE6">
        <w:t>)</w:t>
      </w:r>
      <w:r>
        <w:t xml:space="preserve"> open reviews, late reviews, </w:t>
      </w:r>
      <w:r w:rsidR="004D3AE6">
        <w:t xml:space="preserve">results of </w:t>
      </w:r>
      <w:r>
        <w:t xml:space="preserve">reviews presented to RAB, </w:t>
      </w:r>
      <w:r w:rsidR="004D3AE6">
        <w:t xml:space="preserve">oversights in process, &amp; </w:t>
      </w:r>
      <w:r>
        <w:t>open corrective actions and implementation plans.</w:t>
      </w:r>
      <w:r w:rsidR="00AF1B9A">
        <w:t xml:space="preserve"> </w:t>
      </w:r>
      <w:r w:rsidR="00A800F3">
        <w:t>These updates are given after each benchmark reporting period</w:t>
      </w:r>
    </w:p>
    <w:p w14:paraId="0BC4F76C" w14:textId="7755C4FC" w:rsidR="00AF1B9A" w:rsidRPr="00AF1B9A" w:rsidRDefault="00AF1B9A" w:rsidP="003122B8">
      <w:pPr>
        <w:spacing w:after="0" w:line="240" w:lineRule="auto"/>
        <w:ind w:left="720"/>
        <w:jc w:val="left"/>
        <w:rPr>
          <w:i/>
          <w:iCs/>
          <w:sz w:val="18"/>
          <w:szCs w:val="18"/>
        </w:rPr>
      </w:pPr>
      <w:r w:rsidRPr="00AF1B9A">
        <w:rPr>
          <w:i/>
          <w:iCs/>
          <w:sz w:val="18"/>
          <w:szCs w:val="18"/>
        </w:rPr>
        <w:t xml:space="preserve">* See section III for details on </w:t>
      </w:r>
      <w:r>
        <w:rPr>
          <w:i/>
          <w:iCs/>
          <w:sz w:val="18"/>
          <w:szCs w:val="18"/>
        </w:rPr>
        <w:t>the most recent administrative oversight</w:t>
      </w:r>
      <w:r w:rsidRPr="00AF1B9A">
        <w:rPr>
          <w:i/>
          <w:iCs/>
          <w:sz w:val="18"/>
          <w:szCs w:val="18"/>
        </w:rPr>
        <w:t xml:space="preserve"> performed</w:t>
      </w:r>
    </w:p>
    <w:p w14:paraId="6530CEBE" w14:textId="77777777" w:rsidR="00442AEA" w:rsidRDefault="00442AEA" w:rsidP="003122B8">
      <w:pPr>
        <w:spacing w:after="0" w:line="240" w:lineRule="auto"/>
        <w:jc w:val="left"/>
        <w:rPr>
          <w:b/>
        </w:rPr>
      </w:pPr>
    </w:p>
    <w:p w14:paraId="392F749B" w14:textId="76914008" w:rsidR="00C35FDA" w:rsidRPr="00BC607F" w:rsidRDefault="00C35FDA" w:rsidP="003122B8">
      <w:pPr>
        <w:pStyle w:val="Heading3"/>
      </w:pPr>
      <w:bookmarkStart w:id="1" w:name="_Toc17105453"/>
      <w:r w:rsidRPr="00BC607F">
        <w:t>II.</w:t>
      </w:r>
      <w:r w:rsidRPr="00BC607F">
        <w:tab/>
        <w:t xml:space="preserve">Summary of </w:t>
      </w:r>
      <w:r>
        <w:t xml:space="preserve">Peer Review </w:t>
      </w:r>
      <w:r w:rsidRPr="00BC607F">
        <w:t>Program</w:t>
      </w:r>
      <w:r w:rsidR="009F2FCB">
        <w:t>(</w:t>
      </w:r>
      <w:r w:rsidRPr="00BC607F">
        <w:t>s</w:t>
      </w:r>
      <w:bookmarkEnd w:id="1"/>
      <w:r w:rsidR="009F2FCB">
        <w:t>)</w:t>
      </w:r>
    </w:p>
    <w:p w14:paraId="2FFB4245" w14:textId="4C5DD804" w:rsidR="006F74E9" w:rsidRPr="004D3AE6" w:rsidRDefault="006F74E9" w:rsidP="003122B8">
      <w:pPr>
        <w:spacing w:after="0" w:line="240" w:lineRule="auto"/>
        <w:ind w:left="806" w:hanging="86"/>
        <w:jc w:val="left"/>
        <w:rPr>
          <w:b/>
          <w:bCs/>
        </w:rPr>
      </w:pPr>
      <w:r w:rsidRPr="004D3AE6">
        <w:rPr>
          <w:b/>
          <w:bCs/>
        </w:rPr>
        <w:t>The Georgia Society of CPAs administers the AICPA Peer Review Program.</w:t>
      </w:r>
    </w:p>
    <w:p w14:paraId="374F7268" w14:textId="77777777" w:rsidR="006F74E9" w:rsidRDefault="006F74E9" w:rsidP="003122B8">
      <w:pPr>
        <w:spacing w:after="0" w:line="240" w:lineRule="auto"/>
        <w:ind w:left="806" w:hanging="86"/>
        <w:jc w:val="left"/>
      </w:pPr>
    </w:p>
    <w:p w14:paraId="7C358EE4" w14:textId="35B1E733" w:rsidR="008553F0" w:rsidRDefault="006F74E9" w:rsidP="003122B8">
      <w:pPr>
        <w:spacing w:after="0" w:line="240" w:lineRule="auto"/>
        <w:ind w:left="720"/>
        <w:jc w:val="left"/>
      </w:pPr>
      <w:r>
        <w:t>The Georgia State Board of Accountancy (SBOA) requires all firms in Georgia, who provide attestation or compilation services as part of their public accounting process, to be enrolled in a practice monitoring program. The SBOA has designated The Georgia Society of CPAs as an authorized report acceptance body to approve peer review reports issued for firms enrolled in peer review programs administered by The Georgia Society of CPAs.</w:t>
      </w:r>
    </w:p>
    <w:p w14:paraId="53EE7105" w14:textId="77777777" w:rsidR="006F74E9" w:rsidRDefault="006F74E9" w:rsidP="00DE4D66">
      <w:pPr>
        <w:spacing w:before="120" w:after="0" w:line="240" w:lineRule="auto"/>
        <w:ind w:left="810" w:hanging="90"/>
        <w:jc w:val="left"/>
      </w:pPr>
    </w:p>
    <w:tbl>
      <w:tblPr>
        <w:tblW w:w="5420" w:type="dxa"/>
        <w:jc w:val="center"/>
        <w:tblLook w:val="04A0" w:firstRow="1" w:lastRow="0" w:firstColumn="1" w:lastColumn="0" w:noHBand="0" w:noVBand="1"/>
      </w:tblPr>
      <w:tblGrid>
        <w:gridCol w:w="2620"/>
        <w:gridCol w:w="2800"/>
      </w:tblGrid>
      <w:tr w:rsidR="008553F0" w:rsidRPr="00C858E4" w14:paraId="55205231" w14:textId="77777777" w:rsidTr="008553F0">
        <w:trPr>
          <w:trHeight w:val="600"/>
          <w:jc w:val="center"/>
        </w:trPr>
        <w:tc>
          <w:tcPr>
            <w:tcW w:w="2620" w:type="dxa"/>
            <w:tcBorders>
              <w:top w:val="single" w:sz="4" w:space="0" w:color="auto"/>
              <w:left w:val="single" w:sz="4" w:space="0" w:color="auto"/>
              <w:bottom w:val="single" w:sz="4" w:space="0" w:color="auto"/>
              <w:right w:val="single" w:sz="4" w:space="0" w:color="auto"/>
            </w:tcBorders>
            <w:noWrap/>
            <w:vAlign w:val="bottom"/>
            <w:hideMark/>
          </w:tcPr>
          <w:p w14:paraId="37E2451A" w14:textId="00592E45" w:rsidR="008553F0" w:rsidRPr="008553F0" w:rsidRDefault="008553F0" w:rsidP="00DE4D66">
            <w:pPr>
              <w:spacing w:after="0" w:line="240" w:lineRule="auto"/>
              <w:jc w:val="center"/>
              <w:rPr>
                <w:rFonts w:eastAsia="Times New Roman" w:cs="Arial"/>
                <w:color w:val="000000"/>
              </w:rPr>
            </w:pPr>
          </w:p>
        </w:tc>
        <w:tc>
          <w:tcPr>
            <w:tcW w:w="2800" w:type="dxa"/>
            <w:tcBorders>
              <w:top w:val="single" w:sz="4" w:space="0" w:color="auto"/>
              <w:left w:val="nil"/>
              <w:bottom w:val="single" w:sz="4" w:space="0" w:color="auto"/>
              <w:right w:val="single" w:sz="4" w:space="0" w:color="auto"/>
            </w:tcBorders>
            <w:vAlign w:val="bottom"/>
            <w:hideMark/>
          </w:tcPr>
          <w:p w14:paraId="7E81D048" w14:textId="77777777" w:rsidR="008553F0" w:rsidRPr="00C858E4" w:rsidRDefault="008553F0" w:rsidP="00DE4D66">
            <w:pPr>
              <w:spacing w:after="0" w:line="240" w:lineRule="auto"/>
              <w:jc w:val="center"/>
              <w:rPr>
                <w:rFonts w:eastAsia="Times New Roman" w:cs="Arial"/>
                <w:b/>
                <w:bCs/>
                <w:color w:val="000000"/>
              </w:rPr>
            </w:pPr>
            <w:r w:rsidRPr="00C858E4">
              <w:rPr>
                <w:rFonts w:eastAsia="Times New Roman" w:cs="Arial"/>
                <w:b/>
                <w:bCs/>
                <w:color w:val="000000"/>
              </w:rPr>
              <w:t>AICPA Peer Review Program</w:t>
            </w:r>
          </w:p>
        </w:tc>
      </w:tr>
      <w:tr w:rsidR="008553F0" w:rsidRPr="00C858E4" w14:paraId="05498D15" w14:textId="77777777" w:rsidTr="008553F0">
        <w:trPr>
          <w:trHeight w:val="300"/>
          <w:jc w:val="center"/>
        </w:trPr>
        <w:tc>
          <w:tcPr>
            <w:tcW w:w="2620" w:type="dxa"/>
            <w:tcBorders>
              <w:top w:val="nil"/>
              <w:left w:val="single" w:sz="4" w:space="0" w:color="auto"/>
              <w:bottom w:val="single" w:sz="4" w:space="0" w:color="auto"/>
              <w:right w:val="single" w:sz="4" w:space="0" w:color="auto"/>
            </w:tcBorders>
            <w:noWrap/>
            <w:vAlign w:val="bottom"/>
            <w:hideMark/>
          </w:tcPr>
          <w:p w14:paraId="53FDFB57" w14:textId="77777777" w:rsidR="008553F0" w:rsidRPr="00C858E4" w:rsidRDefault="008553F0" w:rsidP="00DE4D66">
            <w:pPr>
              <w:spacing w:after="0" w:line="240" w:lineRule="auto"/>
              <w:jc w:val="left"/>
              <w:rPr>
                <w:rFonts w:eastAsia="Times New Roman" w:cs="Arial"/>
                <w:color w:val="000000"/>
              </w:rPr>
            </w:pPr>
            <w:r w:rsidRPr="00C858E4">
              <w:rPr>
                <w:rFonts w:eastAsia="Times New Roman" w:cs="Arial"/>
                <w:color w:val="000000"/>
              </w:rPr>
              <w:t>Sole Practitioners</w:t>
            </w:r>
          </w:p>
        </w:tc>
        <w:tc>
          <w:tcPr>
            <w:tcW w:w="2800" w:type="dxa"/>
            <w:tcBorders>
              <w:top w:val="nil"/>
              <w:left w:val="nil"/>
              <w:bottom w:val="single" w:sz="4" w:space="0" w:color="auto"/>
              <w:right w:val="single" w:sz="4" w:space="0" w:color="auto"/>
            </w:tcBorders>
            <w:noWrap/>
            <w:vAlign w:val="bottom"/>
            <w:hideMark/>
          </w:tcPr>
          <w:p w14:paraId="51A014C4" w14:textId="0845388B" w:rsidR="001558D4" w:rsidRPr="00C858E4" w:rsidRDefault="001558D4" w:rsidP="001558D4">
            <w:pPr>
              <w:spacing w:after="0" w:line="240" w:lineRule="auto"/>
              <w:jc w:val="center"/>
              <w:rPr>
                <w:rFonts w:eastAsia="Times New Roman" w:cs="Arial"/>
                <w:color w:val="000000"/>
              </w:rPr>
            </w:pPr>
            <w:r>
              <w:rPr>
                <w:rFonts w:eastAsia="Times New Roman" w:cs="Arial"/>
                <w:color w:val="000000"/>
              </w:rPr>
              <w:t>13</w:t>
            </w:r>
            <w:r w:rsidR="009A23B0">
              <w:rPr>
                <w:rFonts w:eastAsia="Times New Roman" w:cs="Arial"/>
                <w:color w:val="000000"/>
              </w:rPr>
              <w:t>5</w:t>
            </w:r>
          </w:p>
        </w:tc>
      </w:tr>
      <w:tr w:rsidR="008553F0" w:rsidRPr="00C858E4" w14:paraId="30295049" w14:textId="77777777" w:rsidTr="008553F0">
        <w:trPr>
          <w:trHeight w:val="300"/>
          <w:jc w:val="center"/>
        </w:trPr>
        <w:tc>
          <w:tcPr>
            <w:tcW w:w="2620" w:type="dxa"/>
            <w:tcBorders>
              <w:top w:val="nil"/>
              <w:left w:val="single" w:sz="4" w:space="0" w:color="auto"/>
              <w:bottom w:val="single" w:sz="4" w:space="0" w:color="auto"/>
              <w:right w:val="single" w:sz="4" w:space="0" w:color="auto"/>
            </w:tcBorders>
            <w:noWrap/>
            <w:vAlign w:val="bottom"/>
            <w:hideMark/>
          </w:tcPr>
          <w:p w14:paraId="71B604FD" w14:textId="77777777" w:rsidR="008553F0" w:rsidRPr="00C858E4" w:rsidRDefault="008553F0" w:rsidP="00DE4D66">
            <w:pPr>
              <w:spacing w:after="0" w:line="240" w:lineRule="auto"/>
              <w:jc w:val="left"/>
              <w:rPr>
                <w:rFonts w:eastAsia="Times New Roman" w:cs="Arial"/>
                <w:color w:val="000000"/>
              </w:rPr>
            </w:pPr>
            <w:r w:rsidRPr="00C858E4">
              <w:rPr>
                <w:rFonts w:eastAsia="Times New Roman" w:cs="Arial"/>
                <w:color w:val="000000"/>
              </w:rPr>
              <w:t xml:space="preserve"> 2 to 5</w:t>
            </w:r>
          </w:p>
        </w:tc>
        <w:tc>
          <w:tcPr>
            <w:tcW w:w="2800" w:type="dxa"/>
            <w:tcBorders>
              <w:top w:val="nil"/>
              <w:left w:val="nil"/>
              <w:bottom w:val="single" w:sz="4" w:space="0" w:color="auto"/>
              <w:right w:val="single" w:sz="4" w:space="0" w:color="auto"/>
            </w:tcBorders>
            <w:noWrap/>
            <w:vAlign w:val="bottom"/>
            <w:hideMark/>
          </w:tcPr>
          <w:p w14:paraId="6EEA5E1C" w14:textId="65A90B2B" w:rsidR="008553F0" w:rsidRPr="00C858E4" w:rsidRDefault="001558D4" w:rsidP="00DE4D66">
            <w:pPr>
              <w:spacing w:after="0" w:line="240" w:lineRule="auto"/>
              <w:jc w:val="center"/>
              <w:rPr>
                <w:rFonts w:eastAsia="Times New Roman" w:cs="Arial"/>
                <w:color w:val="000000"/>
              </w:rPr>
            </w:pPr>
            <w:r>
              <w:rPr>
                <w:rFonts w:eastAsia="Times New Roman" w:cs="Arial"/>
                <w:color w:val="000000"/>
              </w:rPr>
              <w:t>2</w:t>
            </w:r>
            <w:r w:rsidR="009A23B0">
              <w:rPr>
                <w:rFonts w:eastAsia="Times New Roman" w:cs="Arial"/>
                <w:color w:val="000000"/>
              </w:rPr>
              <w:t>27</w:t>
            </w:r>
          </w:p>
        </w:tc>
      </w:tr>
      <w:tr w:rsidR="008553F0" w:rsidRPr="00C858E4" w14:paraId="753B8977" w14:textId="77777777" w:rsidTr="008553F0">
        <w:trPr>
          <w:trHeight w:val="300"/>
          <w:jc w:val="center"/>
        </w:trPr>
        <w:tc>
          <w:tcPr>
            <w:tcW w:w="2620" w:type="dxa"/>
            <w:tcBorders>
              <w:top w:val="nil"/>
              <w:left w:val="single" w:sz="4" w:space="0" w:color="auto"/>
              <w:bottom w:val="single" w:sz="4" w:space="0" w:color="auto"/>
              <w:right w:val="single" w:sz="4" w:space="0" w:color="auto"/>
            </w:tcBorders>
            <w:noWrap/>
            <w:vAlign w:val="bottom"/>
            <w:hideMark/>
          </w:tcPr>
          <w:p w14:paraId="3BF9BA97" w14:textId="77777777" w:rsidR="008553F0" w:rsidRPr="00C858E4" w:rsidRDefault="008553F0" w:rsidP="00DE4D66">
            <w:pPr>
              <w:spacing w:after="0" w:line="240" w:lineRule="auto"/>
              <w:jc w:val="left"/>
              <w:rPr>
                <w:rFonts w:eastAsia="Times New Roman" w:cs="Arial"/>
                <w:color w:val="000000"/>
              </w:rPr>
            </w:pPr>
            <w:r w:rsidRPr="00C858E4">
              <w:rPr>
                <w:rFonts w:eastAsia="Times New Roman" w:cs="Arial"/>
                <w:color w:val="000000"/>
              </w:rPr>
              <w:t>6 to 10</w:t>
            </w:r>
          </w:p>
        </w:tc>
        <w:tc>
          <w:tcPr>
            <w:tcW w:w="2800" w:type="dxa"/>
            <w:tcBorders>
              <w:top w:val="nil"/>
              <w:left w:val="nil"/>
              <w:bottom w:val="single" w:sz="4" w:space="0" w:color="auto"/>
              <w:right w:val="single" w:sz="4" w:space="0" w:color="auto"/>
            </w:tcBorders>
            <w:noWrap/>
            <w:vAlign w:val="bottom"/>
            <w:hideMark/>
          </w:tcPr>
          <w:p w14:paraId="767803ED" w14:textId="4C26F8CB" w:rsidR="008553F0" w:rsidRPr="00C858E4" w:rsidRDefault="001558D4" w:rsidP="00DE4D66">
            <w:pPr>
              <w:spacing w:after="0" w:line="240" w:lineRule="auto"/>
              <w:jc w:val="center"/>
              <w:rPr>
                <w:rFonts w:eastAsia="Times New Roman" w:cs="Arial"/>
                <w:color w:val="000000"/>
              </w:rPr>
            </w:pPr>
            <w:r>
              <w:rPr>
                <w:rFonts w:eastAsia="Times New Roman" w:cs="Arial"/>
                <w:color w:val="000000"/>
              </w:rPr>
              <w:t>8</w:t>
            </w:r>
            <w:r w:rsidR="009A23B0">
              <w:rPr>
                <w:rFonts w:eastAsia="Times New Roman" w:cs="Arial"/>
                <w:color w:val="000000"/>
              </w:rPr>
              <w:t>8</w:t>
            </w:r>
          </w:p>
        </w:tc>
      </w:tr>
      <w:tr w:rsidR="008553F0" w:rsidRPr="00C858E4" w14:paraId="2B79259C" w14:textId="77777777" w:rsidTr="008553F0">
        <w:trPr>
          <w:trHeight w:val="300"/>
          <w:jc w:val="center"/>
        </w:trPr>
        <w:tc>
          <w:tcPr>
            <w:tcW w:w="2620" w:type="dxa"/>
            <w:tcBorders>
              <w:top w:val="nil"/>
              <w:left w:val="single" w:sz="4" w:space="0" w:color="auto"/>
              <w:bottom w:val="single" w:sz="4" w:space="0" w:color="auto"/>
              <w:right w:val="single" w:sz="4" w:space="0" w:color="auto"/>
            </w:tcBorders>
            <w:noWrap/>
            <w:vAlign w:val="bottom"/>
            <w:hideMark/>
          </w:tcPr>
          <w:p w14:paraId="08158981" w14:textId="77777777" w:rsidR="008553F0" w:rsidRPr="00C858E4" w:rsidRDefault="008553F0" w:rsidP="00DE4D66">
            <w:pPr>
              <w:spacing w:after="0" w:line="240" w:lineRule="auto"/>
              <w:jc w:val="left"/>
              <w:rPr>
                <w:rFonts w:eastAsia="Times New Roman" w:cs="Arial"/>
                <w:color w:val="000000"/>
              </w:rPr>
            </w:pPr>
            <w:r w:rsidRPr="00C858E4">
              <w:rPr>
                <w:rFonts w:eastAsia="Times New Roman" w:cs="Arial"/>
                <w:color w:val="000000"/>
              </w:rPr>
              <w:t>11 to 19</w:t>
            </w:r>
          </w:p>
        </w:tc>
        <w:tc>
          <w:tcPr>
            <w:tcW w:w="2800" w:type="dxa"/>
            <w:tcBorders>
              <w:top w:val="nil"/>
              <w:left w:val="nil"/>
              <w:bottom w:val="single" w:sz="4" w:space="0" w:color="auto"/>
              <w:right w:val="single" w:sz="4" w:space="0" w:color="auto"/>
            </w:tcBorders>
            <w:noWrap/>
            <w:vAlign w:val="bottom"/>
            <w:hideMark/>
          </w:tcPr>
          <w:p w14:paraId="3D48C34D" w14:textId="61F4F635" w:rsidR="008553F0" w:rsidRPr="00C858E4" w:rsidRDefault="00603BDC" w:rsidP="00DE4D66">
            <w:pPr>
              <w:spacing w:after="0" w:line="240" w:lineRule="auto"/>
              <w:jc w:val="center"/>
              <w:rPr>
                <w:rFonts w:eastAsia="Times New Roman" w:cs="Arial"/>
                <w:color w:val="000000"/>
              </w:rPr>
            </w:pPr>
            <w:r>
              <w:rPr>
                <w:rFonts w:eastAsia="Times New Roman" w:cs="Arial"/>
                <w:color w:val="000000"/>
              </w:rPr>
              <w:t>4</w:t>
            </w:r>
            <w:r w:rsidR="009A23B0">
              <w:rPr>
                <w:rFonts w:eastAsia="Times New Roman" w:cs="Arial"/>
                <w:color w:val="000000"/>
              </w:rPr>
              <w:t>2</w:t>
            </w:r>
          </w:p>
        </w:tc>
      </w:tr>
      <w:tr w:rsidR="008553F0" w:rsidRPr="00C858E4" w14:paraId="79913847" w14:textId="77777777" w:rsidTr="008553F0">
        <w:trPr>
          <w:trHeight w:val="300"/>
          <w:jc w:val="center"/>
        </w:trPr>
        <w:tc>
          <w:tcPr>
            <w:tcW w:w="2620" w:type="dxa"/>
            <w:tcBorders>
              <w:top w:val="nil"/>
              <w:left w:val="single" w:sz="4" w:space="0" w:color="auto"/>
              <w:bottom w:val="single" w:sz="4" w:space="0" w:color="auto"/>
              <w:right w:val="single" w:sz="4" w:space="0" w:color="auto"/>
            </w:tcBorders>
            <w:noWrap/>
            <w:vAlign w:val="bottom"/>
            <w:hideMark/>
          </w:tcPr>
          <w:p w14:paraId="61A493D5" w14:textId="77777777" w:rsidR="008553F0" w:rsidRPr="00C858E4" w:rsidRDefault="008553F0" w:rsidP="00DE4D66">
            <w:pPr>
              <w:spacing w:after="0" w:line="240" w:lineRule="auto"/>
              <w:jc w:val="left"/>
              <w:rPr>
                <w:rFonts w:eastAsia="Times New Roman" w:cs="Arial"/>
                <w:color w:val="000000"/>
              </w:rPr>
            </w:pPr>
            <w:r w:rsidRPr="00C858E4">
              <w:rPr>
                <w:rFonts w:eastAsia="Times New Roman" w:cs="Arial"/>
                <w:color w:val="000000"/>
              </w:rPr>
              <w:t>20 to 49</w:t>
            </w:r>
          </w:p>
        </w:tc>
        <w:tc>
          <w:tcPr>
            <w:tcW w:w="2800" w:type="dxa"/>
            <w:tcBorders>
              <w:top w:val="nil"/>
              <w:left w:val="nil"/>
              <w:bottom w:val="single" w:sz="4" w:space="0" w:color="auto"/>
              <w:right w:val="single" w:sz="4" w:space="0" w:color="auto"/>
            </w:tcBorders>
            <w:noWrap/>
            <w:vAlign w:val="bottom"/>
            <w:hideMark/>
          </w:tcPr>
          <w:p w14:paraId="01C83B22" w14:textId="44260C27" w:rsidR="008553F0" w:rsidRPr="00C858E4" w:rsidRDefault="00603BDC" w:rsidP="00DE4D66">
            <w:pPr>
              <w:spacing w:after="0" w:line="240" w:lineRule="auto"/>
              <w:jc w:val="center"/>
              <w:rPr>
                <w:rFonts w:eastAsia="Times New Roman" w:cs="Arial"/>
                <w:color w:val="000000"/>
              </w:rPr>
            </w:pPr>
            <w:r>
              <w:rPr>
                <w:rFonts w:eastAsia="Times New Roman" w:cs="Arial"/>
                <w:color w:val="000000"/>
              </w:rPr>
              <w:t>1</w:t>
            </w:r>
            <w:r w:rsidR="009A23B0">
              <w:rPr>
                <w:rFonts w:eastAsia="Times New Roman" w:cs="Arial"/>
                <w:color w:val="000000"/>
              </w:rPr>
              <w:t>6</w:t>
            </w:r>
          </w:p>
        </w:tc>
      </w:tr>
      <w:tr w:rsidR="008553F0" w:rsidRPr="00C858E4" w14:paraId="2C07B304" w14:textId="77777777" w:rsidTr="008553F0">
        <w:trPr>
          <w:trHeight w:val="300"/>
          <w:jc w:val="center"/>
        </w:trPr>
        <w:tc>
          <w:tcPr>
            <w:tcW w:w="2620" w:type="dxa"/>
            <w:tcBorders>
              <w:top w:val="nil"/>
              <w:left w:val="single" w:sz="4" w:space="0" w:color="auto"/>
              <w:bottom w:val="single" w:sz="4" w:space="0" w:color="auto"/>
              <w:right w:val="single" w:sz="4" w:space="0" w:color="auto"/>
            </w:tcBorders>
            <w:noWrap/>
            <w:vAlign w:val="bottom"/>
            <w:hideMark/>
          </w:tcPr>
          <w:p w14:paraId="5328ED16" w14:textId="77777777" w:rsidR="008553F0" w:rsidRPr="00C858E4" w:rsidRDefault="008553F0" w:rsidP="00DE4D66">
            <w:pPr>
              <w:spacing w:after="0" w:line="240" w:lineRule="auto"/>
              <w:jc w:val="left"/>
              <w:rPr>
                <w:rFonts w:eastAsia="Times New Roman" w:cs="Arial"/>
                <w:color w:val="000000"/>
              </w:rPr>
            </w:pPr>
            <w:r w:rsidRPr="00C858E4">
              <w:rPr>
                <w:rFonts w:eastAsia="Times New Roman" w:cs="Arial"/>
                <w:color w:val="000000"/>
              </w:rPr>
              <w:t>50 to 99</w:t>
            </w:r>
          </w:p>
        </w:tc>
        <w:tc>
          <w:tcPr>
            <w:tcW w:w="2800" w:type="dxa"/>
            <w:tcBorders>
              <w:top w:val="nil"/>
              <w:left w:val="nil"/>
              <w:bottom w:val="single" w:sz="4" w:space="0" w:color="auto"/>
              <w:right w:val="single" w:sz="4" w:space="0" w:color="auto"/>
            </w:tcBorders>
            <w:noWrap/>
            <w:vAlign w:val="bottom"/>
            <w:hideMark/>
          </w:tcPr>
          <w:p w14:paraId="641C481F" w14:textId="228D3AED" w:rsidR="008553F0" w:rsidRPr="00C858E4" w:rsidRDefault="009A23B0" w:rsidP="00DE4D66">
            <w:pPr>
              <w:spacing w:after="0" w:line="240" w:lineRule="auto"/>
              <w:jc w:val="center"/>
              <w:rPr>
                <w:rFonts w:eastAsia="Times New Roman" w:cs="Arial"/>
                <w:color w:val="000000"/>
              </w:rPr>
            </w:pPr>
            <w:r>
              <w:rPr>
                <w:rFonts w:eastAsia="Times New Roman" w:cs="Arial"/>
                <w:color w:val="000000"/>
              </w:rPr>
              <w:t>3</w:t>
            </w:r>
          </w:p>
        </w:tc>
      </w:tr>
      <w:tr w:rsidR="008553F0" w:rsidRPr="00C858E4" w14:paraId="2BB39F59" w14:textId="77777777" w:rsidTr="008553F0">
        <w:trPr>
          <w:trHeight w:val="300"/>
          <w:jc w:val="center"/>
        </w:trPr>
        <w:tc>
          <w:tcPr>
            <w:tcW w:w="2620" w:type="dxa"/>
            <w:tcBorders>
              <w:top w:val="nil"/>
              <w:left w:val="single" w:sz="4" w:space="0" w:color="auto"/>
              <w:bottom w:val="single" w:sz="4" w:space="0" w:color="auto"/>
              <w:right w:val="single" w:sz="4" w:space="0" w:color="auto"/>
            </w:tcBorders>
            <w:noWrap/>
            <w:vAlign w:val="bottom"/>
            <w:hideMark/>
          </w:tcPr>
          <w:p w14:paraId="3E6B6D8E" w14:textId="77777777" w:rsidR="008553F0" w:rsidRPr="00C858E4" w:rsidRDefault="008553F0" w:rsidP="00DE4D66">
            <w:pPr>
              <w:spacing w:after="0" w:line="240" w:lineRule="auto"/>
              <w:jc w:val="left"/>
              <w:rPr>
                <w:rFonts w:eastAsia="Times New Roman" w:cs="Arial"/>
                <w:color w:val="000000"/>
              </w:rPr>
            </w:pPr>
            <w:r w:rsidRPr="00C858E4">
              <w:rPr>
                <w:rFonts w:eastAsia="Times New Roman" w:cs="Arial"/>
                <w:color w:val="000000"/>
              </w:rPr>
              <w:t>100 +</w:t>
            </w:r>
          </w:p>
        </w:tc>
        <w:tc>
          <w:tcPr>
            <w:tcW w:w="2800" w:type="dxa"/>
            <w:tcBorders>
              <w:top w:val="nil"/>
              <w:left w:val="nil"/>
              <w:bottom w:val="single" w:sz="4" w:space="0" w:color="auto"/>
              <w:right w:val="single" w:sz="4" w:space="0" w:color="auto"/>
            </w:tcBorders>
            <w:noWrap/>
            <w:vAlign w:val="bottom"/>
            <w:hideMark/>
          </w:tcPr>
          <w:p w14:paraId="3A56B6E7" w14:textId="2BD5DEBD" w:rsidR="008553F0" w:rsidRPr="00C858E4" w:rsidRDefault="001558D4" w:rsidP="00DE4D66">
            <w:pPr>
              <w:spacing w:after="0" w:line="240" w:lineRule="auto"/>
              <w:jc w:val="center"/>
              <w:rPr>
                <w:rFonts w:eastAsia="Times New Roman" w:cs="Arial"/>
                <w:color w:val="000000"/>
              </w:rPr>
            </w:pPr>
            <w:r>
              <w:rPr>
                <w:rFonts w:eastAsia="Times New Roman" w:cs="Arial"/>
                <w:color w:val="000000"/>
              </w:rPr>
              <w:t>0</w:t>
            </w:r>
          </w:p>
        </w:tc>
      </w:tr>
      <w:tr w:rsidR="008553F0" w:rsidRPr="008553F0" w14:paraId="2ABCD258" w14:textId="77777777" w:rsidTr="008553F0">
        <w:trPr>
          <w:trHeight w:val="300"/>
          <w:jc w:val="center"/>
        </w:trPr>
        <w:tc>
          <w:tcPr>
            <w:tcW w:w="2620" w:type="dxa"/>
            <w:tcBorders>
              <w:top w:val="nil"/>
              <w:left w:val="single" w:sz="4" w:space="0" w:color="auto"/>
              <w:bottom w:val="single" w:sz="4" w:space="0" w:color="auto"/>
              <w:right w:val="single" w:sz="4" w:space="0" w:color="auto"/>
            </w:tcBorders>
            <w:noWrap/>
            <w:vAlign w:val="bottom"/>
            <w:hideMark/>
          </w:tcPr>
          <w:p w14:paraId="24F4F499" w14:textId="77777777" w:rsidR="008553F0" w:rsidRPr="00C858E4" w:rsidRDefault="008553F0" w:rsidP="00DE4D66">
            <w:pPr>
              <w:spacing w:after="0" w:line="240" w:lineRule="auto"/>
              <w:jc w:val="left"/>
              <w:rPr>
                <w:rFonts w:eastAsia="Times New Roman" w:cs="Arial"/>
                <w:b/>
                <w:bCs/>
                <w:color w:val="000000"/>
              </w:rPr>
            </w:pPr>
            <w:r w:rsidRPr="00C858E4">
              <w:rPr>
                <w:rFonts w:eastAsia="Times New Roman" w:cs="Arial"/>
                <w:b/>
                <w:bCs/>
                <w:color w:val="000000"/>
              </w:rPr>
              <w:t>Total enrolled firms</w:t>
            </w:r>
          </w:p>
        </w:tc>
        <w:tc>
          <w:tcPr>
            <w:tcW w:w="2800" w:type="dxa"/>
            <w:tcBorders>
              <w:top w:val="nil"/>
              <w:left w:val="nil"/>
              <w:bottom w:val="single" w:sz="4" w:space="0" w:color="auto"/>
              <w:right w:val="single" w:sz="4" w:space="0" w:color="auto"/>
            </w:tcBorders>
            <w:noWrap/>
            <w:vAlign w:val="bottom"/>
            <w:hideMark/>
          </w:tcPr>
          <w:p w14:paraId="64584E32" w14:textId="713EC23E" w:rsidR="008553F0" w:rsidRPr="008553F0" w:rsidRDefault="008553F0" w:rsidP="00DE4D66">
            <w:pPr>
              <w:spacing w:after="0" w:line="240" w:lineRule="auto"/>
              <w:jc w:val="center"/>
              <w:rPr>
                <w:rFonts w:eastAsia="Times New Roman" w:cs="Arial"/>
                <w:color w:val="000000"/>
              </w:rPr>
            </w:pPr>
            <w:r w:rsidRPr="00C858E4">
              <w:rPr>
                <w:rFonts w:eastAsia="Times New Roman" w:cs="Arial"/>
                <w:color w:val="000000"/>
              </w:rPr>
              <w:t>5</w:t>
            </w:r>
            <w:r w:rsidR="009A23B0">
              <w:rPr>
                <w:rFonts w:eastAsia="Times New Roman" w:cs="Arial"/>
                <w:color w:val="000000"/>
              </w:rPr>
              <w:t>11</w:t>
            </w:r>
          </w:p>
        </w:tc>
      </w:tr>
    </w:tbl>
    <w:p w14:paraId="3FC32E8E" w14:textId="77777777" w:rsidR="008553F0" w:rsidRPr="00BC607F" w:rsidRDefault="008553F0" w:rsidP="00DE4D66">
      <w:pPr>
        <w:spacing w:before="120" w:after="0" w:line="240" w:lineRule="auto"/>
        <w:jc w:val="left"/>
      </w:pPr>
    </w:p>
    <w:p w14:paraId="4B11F23D" w14:textId="77777777" w:rsidR="00C35FDA" w:rsidRPr="00D3280E" w:rsidRDefault="00C35FDA" w:rsidP="00DE4D66">
      <w:pPr>
        <w:spacing w:after="0" w:line="240" w:lineRule="auto"/>
      </w:pPr>
    </w:p>
    <w:p w14:paraId="5E2A41D8" w14:textId="7A94514E" w:rsidR="00C35FDA" w:rsidRPr="004D3AE6" w:rsidRDefault="00C35FDA" w:rsidP="004D3AE6">
      <w:pPr>
        <w:pStyle w:val="ListParagraph"/>
        <w:spacing w:line="240" w:lineRule="auto"/>
        <w:rPr>
          <w:b/>
          <w:bCs/>
        </w:rPr>
      </w:pPr>
      <w:r w:rsidRPr="004D3AE6">
        <w:rPr>
          <w:b/>
          <w:bCs/>
        </w:rPr>
        <w:t xml:space="preserve">Results of Peer Reviews </w:t>
      </w:r>
      <w:r w:rsidR="00076D83" w:rsidRPr="004D3AE6">
        <w:rPr>
          <w:b/>
          <w:bCs/>
        </w:rPr>
        <w:t xml:space="preserve">Accepted </w:t>
      </w:r>
      <w:r w:rsidRPr="004D3AE6">
        <w:rPr>
          <w:b/>
          <w:bCs/>
        </w:rPr>
        <w:t>During the Year</w:t>
      </w:r>
      <w:r w:rsidR="00C36112" w:rsidRPr="004D3AE6">
        <w:rPr>
          <w:b/>
          <w:bCs/>
        </w:rPr>
        <w:t xml:space="preserve"> 202</w:t>
      </w:r>
      <w:r w:rsidR="007F3C16">
        <w:rPr>
          <w:b/>
          <w:bCs/>
        </w:rPr>
        <w:t>5</w:t>
      </w:r>
      <w:r w:rsidRPr="004D3AE6">
        <w:rPr>
          <w:b/>
          <w:bCs/>
        </w:rPr>
        <w:t xml:space="preserve">  </w:t>
      </w:r>
    </w:p>
    <w:p w14:paraId="3E4397AB" w14:textId="77777777" w:rsidR="00CB757A" w:rsidRDefault="00CB757A" w:rsidP="00DE4D66">
      <w:pPr>
        <w:pStyle w:val="ListParagraph"/>
        <w:spacing w:line="240" w:lineRule="auto"/>
      </w:pPr>
    </w:p>
    <w:p w14:paraId="50D20B71" w14:textId="28C8D7B2" w:rsidR="00C35FDA" w:rsidRPr="004D3AE6" w:rsidRDefault="00CB757A" w:rsidP="004D3AE6">
      <w:pPr>
        <w:pStyle w:val="ListParagraph"/>
        <w:spacing w:after="0" w:line="240" w:lineRule="auto"/>
        <w:ind w:firstLine="180"/>
        <w:contextualSpacing w:val="0"/>
        <w:rPr>
          <w:b/>
          <w:bCs/>
        </w:rPr>
      </w:pPr>
      <w:r w:rsidRPr="004D3AE6">
        <w:rPr>
          <w:b/>
          <w:bCs/>
        </w:rPr>
        <w:t xml:space="preserve">a)  </w:t>
      </w:r>
      <w:r w:rsidR="00C35FDA" w:rsidRPr="004D3AE6">
        <w:rPr>
          <w:b/>
          <w:bCs/>
        </w:rPr>
        <w:t>Results by Type of Peer Review and Report Issued</w:t>
      </w:r>
    </w:p>
    <w:p w14:paraId="250DBCA7" w14:textId="69BD0B5D" w:rsidR="00C35FDA" w:rsidRPr="00D72556" w:rsidRDefault="00C35FDA" w:rsidP="00DE4D66">
      <w:pPr>
        <w:spacing w:after="0" w:line="240" w:lineRule="auto"/>
        <w:ind w:left="360"/>
      </w:pPr>
    </w:p>
    <w:tbl>
      <w:tblPr>
        <w:tblStyle w:val="TableGrid"/>
        <w:tblW w:w="0" w:type="auto"/>
        <w:jc w:val="center"/>
        <w:tblLook w:val="04A0" w:firstRow="1" w:lastRow="0" w:firstColumn="1" w:lastColumn="0" w:noHBand="0" w:noVBand="1"/>
      </w:tblPr>
      <w:tblGrid>
        <w:gridCol w:w="4174"/>
        <w:gridCol w:w="964"/>
        <w:gridCol w:w="884"/>
      </w:tblGrid>
      <w:tr w:rsidR="004E1D92" w:rsidRPr="001E5253" w14:paraId="0AFC7B6B" w14:textId="77777777" w:rsidTr="00D3280E">
        <w:trPr>
          <w:trHeight w:val="654"/>
          <w:tblHeader/>
          <w:jc w:val="center"/>
        </w:trPr>
        <w:tc>
          <w:tcPr>
            <w:tcW w:w="4174" w:type="dxa"/>
          </w:tcPr>
          <w:p w14:paraId="7AD1AB73" w14:textId="77777777" w:rsidR="004E1D92" w:rsidRPr="00D72556" w:rsidRDefault="004E1D92" w:rsidP="00DE4D66">
            <w:pPr>
              <w:spacing w:after="0" w:line="240" w:lineRule="auto"/>
            </w:pPr>
            <w:bookmarkStart w:id="2" w:name="_Hlk126846032"/>
          </w:p>
        </w:tc>
        <w:tc>
          <w:tcPr>
            <w:tcW w:w="1848" w:type="dxa"/>
            <w:gridSpan w:val="2"/>
            <w:vAlign w:val="bottom"/>
          </w:tcPr>
          <w:p w14:paraId="3E5E5D12" w14:textId="3FB145FA" w:rsidR="004E1D92" w:rsidRPr="001E5253" w:rsidRDefault="004E1D92" w:rsidP="00DE4D66">
            <w:pPr>
              <w:spacing w:after="0" w:line="240" w:lineRule="auto"/>
              <w:jc w:val="center"/>
              <w:rPr>
                <w:b/>
              </w:rPr>
            </w:pPr>
            <w:r w:rsidRPr="001E5253">
              <w:rPr>
                <w:b/>
              </w:rPr>
              <w:t>AICPA Peer Review Program</w:t>
            </w:r>
          </w:p>
        </w:tc>
      </w:tr>
      <w:tr w:rsidR="004E1D92" w:rsidRPr="001E5253" w14:paraId="33E33C8F" w14:textId="77777777" w:rsidTr="00D3280E">
        <w:trPr>
          <w:trHeight w:val="336"/>
          <w:jc w:val="center"/>
        </w:trPr>
        <w:tc>
          <w:tcPr>
            <w:tcW w:w="4174" w:type="dxa"/>
            <w:vAlign w:val="bottom"/>
          </w:tcPr>
          <w:p w14:paraId="13177F0E" w14:textId="2F87833E" w:rsidR="004E1D92" w:rsidRPr="001E5253" w:rsidRDefault="004E1D92" w:rsidP="00DE4D66">
            <w:pPr>
              <w:keepLines/>
              <w:spacing w:after="0" w:line="240" w:lineRule="auto"/>
              <w:jc w:val="left"/>
              <w:rPr>
                <w:b/>
              </w:rPr>
            </w:pPr>
            <w:r w:rsidRPr="001E5253">
              <w:rPr>
                <w:b/>
              </w:rPr>
              <w:t>System Reviews</w:t>
            </w:r>
          </w:p>
        </w:tc>
        <w:tc>
          <w:tcPr>
            <w:tcW w:w="964" w:type="dxa"/>
            <w:vAlign w:val="bottom"/>
          </w:tcPr>
          <w:p w14:paraId="077204FF" w14:textId="67B8524B" w:rsidR="004E1D92" w:rsidRPr="001E5253" w:rsidRDefault="004E1D92" w:rsidP="00DE4D66">
            <w:pPr>
              <w:keepLines/>
              <w:spacing w:after="0" w:line="240" w:lineRule="auto"/>
              <w:jc w:val="right"/>
            </w:pPr>
          </w:p>
        </w:tc>
        <w:tc>
          <w:tcPr>
            <w:tcW w:w="884" w:type="dxa"/>
            <w:vAlign w:val="bottom"/>
          </w:tcPr>
          <w:p w14:paraId="3C3653FF" w14:textId="7CF12E41" w:rsidR="004E1D92" w:rsidRPr="001E5253" w:rsidRDefault="004E1D92" w:rsidP="00DE4D66">
            <w:pPr>
              <w:keepLines/>
              <w:spacing w:after="0" w:line="240" w:lineRule="auto"/>
              <w:jc w:val="center"/>
            </w:pPr>
            <w:r w:rsidRPr="001E5253">
              <w:t>%</w:t>
            </w:r>
          </w:p>
        </w:tc>
      </w:tr>
      <w:tr w:rsidR="004E1D92" w:rsidRPr="001E5253" w14:paraId="5BC322B6" w14:textId="77777777" w:rsidTr="00D3280E">
        <w:trPr>
          <w:trHeight w:val="317"/>
          <w:jc w:val="center"/>
        </w:trPr>
        <w:tc>
          <w:tcPr>
            <w:tcW w:w="4174" w:type="dxa"/>
            <w:vAlign w:val="bottom"/>
          </w:tcPr>
          <w:p w14:paraId="2F97197C" w14:textId="0D2216DE" w:rsidR="004E1D92" w:rsidRPr="001E5253" w:rsidRDefault="004E1D92" w:rsidP="00DE4D66">
            <w:pPr>
              <w:keepLines/>
              <w:spacing w:after="0" w:line="240" w:lineRule="auto"/>
              <w:jc w:val="left"/>
            </w:pPr>
            <w:r w:rsidRPr="001E5253">
              <w:t>Pass</w:t>
            </w:r>
          </w:p>
        </w:tc>
        <w:tc>
          <w:tcPr>
            <w:tcW w:w="964" w:type="dxa"/>
            <w:vAlign w:val="bottom"/>
          </w:tcPr>
          <w:p w14:paraId="52B9743A" w14:textId="03802DE9" w:rsidR="004E1D92" w:rsidRPr="001E5253" w:rsidRDefault="00A029DB" w:rsidP="00DE4D66">
            <w:pPr>
              <w:keepLines/>
              <w:spacing w:after="0" w:line="240" w:lineRule="auto"/>
              <w:jc w:val="center"/>
            </w:pPr>
            <w:r>
              <w:t>68</w:t>
            </w:r>
          </w:p>
        </w:tc>
        <w:tc>
          <w:tcPr>
            <w:tcW w:w="884" w:type="dxa"/>
            <w:vAlign w:val="bottom"/>
          </w:tcPr>
          <w:p w14:paraId="2FACA82B" w14:textId="367A15D0" w:rsidR="001E5253" w:rsidRPr="001E5253" w:rsidRDefault="00A029DB" w:rsidP="001E5253">
            <w:pPr>
              <w:keepLines/>
              <w:spacing w:after="0" w:line="240" w:lineRule="auto"/>
              <w:jc w:val="center"/>
            </w:pPr>
            <w:r>
              <w:t>66</w:t>
            </w:r>
          </w:p>
        </w:tc>
      </w:tr>
      <w:tr w:rsidR="004E1D92" w:rsidRPr="001E5253" w14:paraId="25E0295D" w14:textId="77777777" w:rsidTr="00D3280E">
        <w:trPr>
          <w:trHeight w:val="336"/>
          <w:jc w:val="center"/>
        </w:trPr>
        <w:tc>
          <w:tcPr>
            <w:tcW w:w="4174" w:type="dxa"/>
            <w:vAlign w:val="bottom"/>
          </w:tcPr>
          <w:p w14:paraId="68177921" w14:textId="232F577F" w:rsidR="004E1D92" w:rsidRPr="001E5253" w:rsidRDefault="004E1D92" w:rsidP="00DE4D66">
            <w:pPr>
              <w:keepLines/>
              <w:spacing w:after="0" w:line="240" w:lineRule="auto"/>
              <w:jc w:val="left"/>
            </w:pPr>
            <w:r w:rsidRPr="001E5253">
              <w:t>Pass with deficiency(ies)</w:t>
            </w:r>
          </w:p>
        </w:tc>
        <w:tc>
          <w:tcPr>
            <w:tcW w:w="964" w:type="dxa"/>
            <w:vAlign w:val="bottom"/>
          </w:tcPr>
          <w:p w14:paraId="678EDF19" w14:textId="00215846" w:rsidR="004E1D92" w:rsidRPr="001E5253" w:rsidRDefault="00A029DB" w:rsidP="00DE4D66">
            <w:pPr>
              <w:keepLines/>
              <w:spacing w:after="0" w:line="240" w:lineRule="auto"/>
              <w:jc w:val="center"/>
            </w:pPr>
            <w:r>
              <w:t>9</w:t>
            </w:r>
          </w:p>
        </w:tc>
        <w:tc>
          <w:tcPr>
            <w:tcW w:w="884" w:type="dxa"/>
            <w:vAlign w:val="bottom"/>
          </w:tcPr>
          <w:p w14:paraId="6F11A270" w14:textId="367F5B48" w:rsidR="004E1D92" w:rsidRPr="001E5253" w:rsidRDefault="00A029DB" w:rsidP="00DE4D66">
            <w:pPr>
              <w:keepLines/>
              <w:spacing w:after="0" w:line="240" w:lineRule="auto"/>
              <w:jc w:val="center"/>
            </w:pPr>
            <w:r>
              <w:t>9</w:t>
            </w:r>
          </w:p>
        </w:tc>
      </w:tr>
      <w:tr w:rsidR="004E1D92" w:rsidRPr="001E5253" w14:paraId="622F0FB1" w14:textId="77777777" w:rsidTr="00D3280E">
        <w:trPr>
          <w:trHeight w:val="317"/>
          <w:jc w:val="center"/>
        </w:trPr>
        <w:tc>
          <w:tcPr>
            <w:tcW w:w="4174" w:type="dxa"/>
            <w:vAlign w:val="bottom"/>
          </w:tcPr>
          <w:p w14:paraId="239FABA1" w14:textId="213610B5" w:rsidR="004E1D92" w:rsidRPr="001E5253" w:rsidRDefault="004E1D92" w:rsidP="00DE4D66">
            <w:pPr>
              <w:keepLines/>
              <w:spacing w:after="0" w:line="240" w:lineRule="auto"/>
              <w:jc w:val="left"/>
            </w:pPr>
            <w:r w:rsidRPr="001E5253">
              <w:t>Fail</w:t>
            </w:r>
          </w:p>
        </w:tc>
        <w:tc>
          <w:tcPr>
            <w:tcW w:w="964" w:type="dxa"/>
            <w:vAlign w:val="bottom"/>
          </w:tcPr>
          <w:p w14:paraId="3F8806F8" w14:textId="661F5D4B" w:rsidR="004E1D92" w:rsidRPr="001E5253" w:rsidRDefault="00A029DB" w:rsidP="00DE4D66">
            <w:pPr>
              <w:keepLines/>
              <w:spacing w:after="0" w:line="240" w:lineRule="auto"/>
              <w:jc w:val="center"/>
            </w:pPr>
            <w:r>
              <w:t>25</w:t>
            </w:r>
          </w:p>
        </w:tc>
        <w:tc>
          <w:tcPr>
            <w:tcW w:w="884" w:type="dxa"/>
            <w:vAlign w:val="bottom"/>
          </w:tcPr>
          <w:p w14:paraId="60803CDF" w14:textId="6877EE24" w:rsidR="004E1D92" w:rsidRPr="001E5253" w:rsidRDefault="00A029DB" w:rsidP="00DE4D66">
            <w:pPr>
              <w:keepLines/>
              <w:spacing w:after="0" w:line="240" w:lineRule="auto"/>
              <w:jc w:val="center"/>
            </w:pPr>
            <w:r>
              <w:t>25</w:t>
            </w:r>
          </w:p>
        </w:tc>
      </w:tr>
      <w:tr w:rsidR="004E1D92" w:rsidRPr="001E5253" w14:paraId="5B22B837" w14:textId="77777777" w:rsidTr="00D3280E">
        <w:trPr>
          <w:trHeight w:val="336"/>
          <w:jc w:val="center"/>
        </w:trPr>
        <w:tc>
          <w:tcPr>
            <w:tcW w:w="4174" w:type="dxa"/>
            <w:vAlign w:val="bottom"/>
          </w:tcPr>
          <w:p w14:paraId="4279DB9B" w14:textId="398DEE61" w:rsidR="004E1D92" w:rsidRPr="00EB34EC" w:rsidRDefault="004E1D92" w:rsidP="00DE4D66">
            <w:pPr>
              <w:keepLines/>
              <w:spacing w:after="0" w:line="240" w:lineRule="auto"/>
              <w:jc w:val="left"/>
              <w:rPr>
                <w:b/>
                <w:bCs/>
              </w:rPr>
            </w:pPr>
            <w:r w:rsidRPr="00EB34EC">
              <w:rPr>
                <w:b/>
                <w:bCs/>
              </w:rPr>
              <w:t>Total</w:t>
            </w:r>
          </w:p>
        </w:tc>
        <w:tc>
          <w:tcPr>
            <w:tcW w:w="964" w:type="dxa"/>
            <w:vAlign w:val="bottom"/>
          </w:tcPr>
          <w:p w14:paraId="57EAAF23" w14:textId="71B00E99" w:rsidR="004E1D92" w:rsidRPr="00EB34EC" w:rsidRDefault="00A029DB" w:rsidP="00DE4D66">
            <w:pPr>
              <w:keepLines/>
              <w:spacing w:after="0" w:line="240" w:lineRule="auto"/>
              <w:jc w:val="center"/>
              <w:rPr>
                <w:b/>
                <w:bCs/>
              </w:rPr>
            </w:pPr>
            <w:r>
              <w:rPr>
                <w:b/>
                <w:bCs/>
              </w:rPr>
              <w:t>102</w:t>
            </w:r>
          </w:p>
        </w:tc>
        <w:tc>
          <w:tcPr>
            <w:tcW w:w="884" w:type="dxa"/>
            <w:vAlign w:val="bottom"/>
          </w:tcPr>
          <w:p w14:paraId="614DA5C8" w14:textId="6CB8335E" w:rsidR="004E1D92" w:rsidRPr="00EB34EC" w:rsidRDefault="004E1D92" w:rsidP="00DE4D66">
            <w:pPr>
              <w:keepLines/>
              <w:spacing w:after="0" w:line="240" w:lineRule="auto"/>
              <w:jc w:val="center"/>
              <w:rPr>
                <w:b/>
                <w:bCs/>
              </w:rPr>
            </w:pPr>
            <w:r w:rsidRPr="00EB34EC">
              <w:rPr>
                <w:b/>
                <w:bCs/>
              </w:rPr>
              <w:t>100</w:t>
            </w:r>
          </w:p>
        </w:tc>
      </w:tr>
      <w:tr w:rsidR="004E1D92" w:rsidRPr="001E5253" w14:paraId="6D1969C3" w14:textId="77777777" w:rsidTr="00D3280E">
        <w:trPr>
          <w:trHeight w:val="336"/>
          <w:jc w:val="center"/>
        </w:trPr>
        <w:tc>
          <w:tcPr>
            <w:tcW w:w="4174" w:type="dxa"/>
            <w:vAlign w:val="bottom"/>
          </w:tcPr>
          <w:p w14:paraId="33A383A6" w14:textId="14FED0C3" w:rsidR="004E1D92" w:rsidRPr="001E5253" w:rsidRDefault="004E1D92" w:rsidP="00DE4D66">
            <w:pPr>
              <w:keepNext/>
              <w:keepLines/>
              <w:spacing w:after="0" w:line="240" w:lineRule="auto"/>
              <w:jc w:val="left"/>
              <w:rPr>
                <w:b/>
              </w:rPr>
            </w:pPr>
            <w:r w:rsidRPr="001E5253">
              <w:rPr>
                <w:b/>
              </w:rPr>
              <w:t>Engagement Reviews</w:t>
            </w:r>
          </w:p>
        </w:tc>
        <w:tc>
          <w:tcPr>
            <w:tcW w:w="964" w:type="dxa"/>
            <w:vAlign w:val="bottom"/>
          </w:tcPr>
          <w:p w14:paraId="22FE3B1E" w14:textId="7FE71668" w:rsidR="004E1D92" w:rsidRPr="001E5253" w:rsidRDefault="004E1D92" w:rsidP="00DE4D66">
            <w:pPr>
              <w:keepNext/>
              <w:keepLines/>
              <w:spacing w:after="0" w:line="240" w:lineRule="auto"/>
              <w:jc w:val="right"/>
            </w:pPr>
          </w:p>
        </w:tc>
        <w:tc>
          <w:tcPr>
            <w:tcW w:w="884" w:type="dxa"/>
            <w:vAlign w:val="bottom"/>
          </w:tcPr>
          <w:p w14:paraId="0E2EB023" w14:textId="08405F40" w:rsidR="004E1D92" w:rsidRPr="001E5253" w:rsidRDefault="004E1D92" w:rsidP="00DE4D66">
            <w:pPr>
              <w:keepNext/>
              <w:keepLines/>
              <w:spacing w:after="0" w:line="240" w:lineRule="auto"/>
              <w:jc w:val="center"/>
            </w:pPr>
            <w:r w:rsidRPr="001E5253">
              <w:t>%</w:t>
            </w:r>
          </w:p>
        </w:tc>
      </w:tr>
      <w:tr w:rsidR="004E1D92" w:rsidRPr="001E5253" w14:paraId="4F948F71" w14:textId="77777777" w:rsidTr="00D3280E">
        <w:trPr>
          <w:trHeight w:val="336"/>
          <w:jc w:val="center"/>
        </w:trPr>
        <w:tc>
          <w:tcPr>
            <w:tcW w:w="4174" w:type="dxa"/>
            <w:vAlign w:val="bottom"/>
          </w:tcPr>
          <w:p w14:paraId="62DD56F1" w14:textId="1D53544A" w:rsidR="004E1D92" w:rsidRPr="001E5253" w:rsidRDefault="004E1D92" w:rsidP="00DE4D66">
            <w:pPr>
              <w:keepNext/>
              <w:keepLines/>
              <w:spacing w:after="0" w:line="240" w:lineRule="auto"/>
              <w:jc w:val="left"/>
            </w:pPr>
            <w:r w:rsidRPr="001E5253">
              <w:t>Pass</w:t>
            </w:r>
          </w:p>
        </w:tc>
        <w:tc>
          <w:tcPr>
            <w:tcW w:w="964" w:type="dxa"/>
            <w:vAlign w:val="bottom"/>
          </w:tcPr>
          <w:p w14:paraId="605D3BE8" w14:textId="74E1AFBD" w:rsidR="004E1D92" w:rsidRPr="001E5253" w:rsidRDefault="002477FC" w:rsidP="00DE4D66">
            <w:pPr>
              <w:keepNext/>
              <w:keepLines/>
              <w:spacing w:after="0" w:line="240" w:lineRule="auto"/>
              <w:jc w:val="center"/>
            </w:pPr>
            <w:r>
              <w:t>55</w:t>
            </w:r>
          </w:p>
        </w:tc>
        <w:tc>
          <w:tcPr>
            <w:tcW w:w="884" w:type="dxa"/>
            <w:vAlign w:val="bottom"/>
          </w:tcPr>
          <w:p w14:paraId="73D023BF" w14:textId="07A09E6E" w:rsidR="004E1D92" w:rsidRPr="001E5253" w:rsidRDefault="002477FC" w:rsidP="00DE4D66">
            <w:pPr>
              <w:keepNext/>
              <w:keepLines/>
              <w:spacing w:after="0" w:line="240" w:lineRule="auto"/>
              <w:jc w:val="center"/>
            </w:pPr>
            <w:r>
              <w:t>83.33</w:t>
            </w:r>
          </w:p>
        </w:tc>
      </w:tr>
      <w:tr w:rsidR="004E1D92" w:rsidRPr="001E5253" w14:paraId="02864AC0" w14:textId="77777777" w:rsidTr="00D3280E">
        <w:trPr>
          <w:trHeight w:val="336"/>
          <w:jc w:val="center"/>
        </w:trPr>
        <w:tc>
          <w:tcPr>
            <w:tcW w:w="4174" w:type="dxa"/>
            <w:vAlign w:val="bottom"/>
          </w:tcPr>
          <w:p w14:paraId="5F5E94A5" w14:textId="2B4D4559" w:rsidR="004E1D92" w:rsidRPr="001E5253" w:rsidRDefault="004E1D92" w:rsidP="00DE4D66">
            <w:pPr>
              <w:keepNext/>
              <w:keepLines/>
              <w:spacing w:after="0" w:line="240" w:lineRule="auto"/>
              <w:jc w:val="left"/>
            </w:pPr>
            <w:r w:rsidRPr="001E5253">
              <w:t>Pass with deficiency(ies)</w:t>
            </w:r>
          </w:p>
        </w:tc>
        <w:tc>
          <w:tcPr>
            <w:tcW w:w="964" w:type="dxa"/>
            <w:vAlign w:val="bottom"/>
          </w:tcPr>
          <w:p w14:paraId="4A79541C" w14:textId="74FB8577" w:rsidR="004E1D92" w:rsidRPr="001E5253" w:rsidRDefault="002477FC" w:rsidP="00DE4D66">
            <w:pPr>
              <w:keepNext/>
              <w:keepLines/>
              <w:spacing w:after="0" w:line="240" w:lineRule="auto"/>
              <w:jc w:val="center"/>
            </w:pPr>
            <w:r>
              <w:t>10</w:t>
            </w:r>
          </w:p>
        </w:tc>
        <w:tc>
          <w:tcPr>
            <w:tcW w:w="884" w:type="dxa"/>
            <w:vAlign w:val="bottom"/>
          </w:tcPr>
          <w:p w14:paraId="2B9C8BAB" w14:textId="6089AEDD" w:rsidR="004E1D92" w:rsidRPr="001E5253" w:rsidRDefault="002477FC" w:rsidP="00DE4D66">
            <w:pPr>
              <w:keepNext/>
              <w:keepLines/>
              <w:spacing w:after="0" w:line="240" w:lineRule="auto"/>
              <w:jc w:val="center"/>
            </w:pPr>
            <w:r>
              <w:t>15.15</w:t>
            </w:r>
          </w:p>
        </w:tc>
      </w:tr>
      <w:tr w:rsidR="004E1D92" w:rsidRPr="001E5253" w14:paraId="50A46A65" w14:textId="77777777" w:rsidTr="00D3280E">
        <w:trPr>
          <w:trHeight w:val="317"/>
          <w:jc w:val="center"/>
        </w:trPr>
        <w:tc>
          <w:tcPr>
            <w:tcW w:w="4174" w:type="dxa"/>
            <w:vAlign w:val="bottom"/>
          </w:tcPr>
          <w:p w14:paraId="30EAA126" w14:textId="5C5AB560" w:rsidR="004E1D92" w:rsidRPr="001E5253" w:rsidRDefault="004E1D92" w:rsidP="00DE4D66">
            <w:pPr>
              <w:keepNext/>
              <w:keepLines/>
              <w:spacing w:after="0" w:line="240" w:lineRule="auto"/>
              <w:jc w:val="left"/>
            </w:pPr>
            <w:r w:rsidRPr="001E5253">
              <w:t>Fail</w:t>
            </w:r>
          </w:p>
        </w:tc>
        <w:tc>
          <w:tcPr>
            <w:tcW w:w="964" w:type="dxa"/>
            <w:vAlign w:val="bottom"/>
          </w:tcPr>
          <w:p w14:paraId="3434F709" w14:textId="28234997" w:rsidR="004E1D92" w:rsidRPr="001E5253" w:rsidRDefault="00A029DB" w:rsidP="00DE4D66">
            <w:pPr>
              <w:keepNext/>
              <w:keepLines/>
              <w:spacing w:after="0" w:line="240" w:lineRule="auto"/>
              <w:jc w:val="center"/>
            </w:pPr>
            <w:r>
              <w:t>1</w:t>
            </w:r>
          </w:p>
        </w:tc>
        <w:tc>
          <w:tcPr>
            <w:tcW w:w="884" w:type="dxa"/>
            <w:vAlign w:val="bottom"/>
          </w:tcPr>
          <w:p w14:paraId="6EF5F201" w14:textId="1D063638" w:rsidR="004E1D92" w:rsidRPr="001E5253" w:rsidRDefault="002477FC" w:rsidP="00DE4D66">
            <w:pPr>
              <w:keepNext/>
              <w:keepLines/>
              <w:spacing w:after="0" w:line="240" w:lineRule="auto"/>
              <w:jc w:val="center"/>
            </w:pPr>
            <w:r>
              <w:t>1.52</w:t>
            </w:r>
          </w:p>
        </w:tc>
      </w:tr>
      <w:tr w:rsidR="004E1D92" w:rsidRPr="001A55D8" w14:paraId="1D8F8184" w14:textId="77777777" w:rsidTr="00D3280E">
        <w:trPr>
          <w:trHeight w:val="336"/>
          <w:jc w:val="center"/>
        </w:trPr>
        <w:tc>
          <w:tcPr>
            <w:tcW w:w="4174" w:type="dxa"/>
            <w:vAlign w:val="bottom"/>
          </w:tcPr>
          <w:p w14:paraId="341AA7A2" w14:textId="0E9B944C" w:rsidR="004E1D92" w:rsidRPr="00EB34EC" w:rsidRDefault="004E1D92" w:rsidP="00DE4D66">
            <w:pPr>
              <w:keepNext/>
              <w:keepLines/>
              <w:spacing w:after="0" w:line="240" w:lineRule="auto"/>
              <w:jc w:val="left"/>
              <w:rPr>
                <w:b/>
                <w:bCs/>
              </w:rPr>
            </w:pPr>
            <w:r w:rsidRPr="00EB34EC">
              <w:rPr>
                <w:b/>
                <w:bCs/>
              </w:rPr>
              <w:t>Total</w:t>
            </w:r>
          </w:p>
        </w:tc>
        <w:tc>
          <w:tcPr>
            <w:tcW w:w="964" w:type="dxa"/>
            <w:vAlign w:val="bottom"/>
          </w:tcPr>
          <w:p w14:paraId="7D9DC77E" w14:textId="480D1BBC" w:rsidR="004E1D92" w:rsidRPr="00EB34EC" w:rsidRDefault="002477FC" w:rsidP="00DE4D66">
            <w:pPr>
              <w:keepNext/>
              <w:keepLines/>
              <w:spacing w:after="0" w:line="240" w:lineRule="auto"/>
              <w:jc w:val="center"/>
              <w:rPr>
                <w:b/>
                <w:bCs/>
              </w:rPr>
            </w:pPr>
            <w:r>
              <w:rPr>
                <w:b/>
                <w:bCs/>
              </w:rPr>
              <w:t>66</w:t>
            </w:r>
          </w:p>
        </w:tc>
        <w:tc>
          <w:tcPr>
            <w:tcW w:w="884" w:type="dxa"/>
            <w:vAlign w:val="bottom"/>
          </w:tcPr>
          <w:p w14:paraId="28FB1E37" w14:textId="10199DD1" w:rsidR="004E1D92" w:rsidRPr="00EB34EC" w:rsidRDefault="004E1D92" w:rsidP="00DE4D66">
            <w:pPr>
              <w:keepNext/>
              <w:keepLines/>
              <w:spacing w:after="0" w:line="240" w:lineRule="auto"/>
              <w:jc w:val="center"/>
              <w:rPr>
                <w:b/>
                <w:bCs/>
              </w:rPr>
            </w:pPr>
            <w:r w:rsidRPr="00EB34EC">
              <w:rPr>
                <w:b/>
                <w:bCs/>
              </w:rPr>
              <w:t>100</w:t>
            </w:r>
          </w:p>
        </w:tc>
      </w:tr>
      <w:bookmarkEnd w:id="2"/>
    </w:tbl>
    <w:p w14:paraId="1469CC73" w14:textId="77777777" w:rsidR="00254964" w:rsidRDefault="00254964" w:rsidP="00DE4D66">
      <w:pPr>
        <w:spacing w:after="0" w:line="240" w:lineRule="auto"/>
        <w:ind w:left="360"/>
      </w:pPr>
    </w:p>
    <w:p w14:paraId="56C9794C" w14:textId="77777777" w:rsidR="00CA3507" w:rsidRDefault="00CA3507" w:rsidP="004D3AE6">
      <w:pPr>
        <w:spacing w:after="0" w:line="240" w:lineRule="auto"/>
        <w:ind w:left="720" w:firstLine="180"/>
        <w:rPr>
          <w:b/>
          <w:bCs/>
        </w:rPr>
      </w:pPr>
    </w:p>
    <w:p w14:paraId="2BBDE83E" w14:textId="77777777" w:rsidR="00CA3507" w:rsidRDefault="00CA3507" w:rsidP="004D3AE6">
      <w:pPr>
        <w:spacing w:after="0" w:line="240" w:lineRule="auto"/>
        <w:ind w:left="720" w:firstLine="180"/>
        <w:rPr>
          <w:b/>
          <w:bCs/>
        </w:rPr>
      </w:pPr>
    </w:p>
    <w:p w14:paraId="5CF70F04" w14:textId="77777777" w:rsidR="00CA3507" w:rsidRDefault="00CA3507" w:rsidP="004D3AE6">
      <w:pPr>
        <w:spacing w:after="0" w:line="240" w:lineRule="auto"/>
        <w:ind w:left="720" w:firstLine="180"/>
        <w:rPr>
          <w:b/>
          <w:bCs/>
        </w:rPr>
      </w:pPr>
    </w:p>
    <w:p w14:paraId="0532B4C4" w14:textId="77777777" w:rsidR="00CA3507" w:rsidRDefault="00CA3507" w:rsidP="004D3AE6">
      <w:pPr>
        <w:spacing w:after="0" w:line="240" w:lineRule="auto"/>
        <w:ind w:left="720" w:firstLine="180"/>
        <w:rPr>
          <w:b/>
          <w:bCs/>
        </w:rPr>
      </w:pPr>
    </w:p>
    <w:p w14:paraId="3C2D7F6C" w14:textId="0D07F445" w:rsidR="00C35FDA" w:rsidRPr="004D3AE6" w:rsidRDefault="006A653C" w:rsidP="004D3AE6">
      <w:pPr>
        <w:spacing w:after="0" w:line="240" w:lineRule="auto"/>
        <w:ind w:left="720" w:firstLine="180"/>
        <w:rPr>
          <w:b/>
          <w:bCs/>
        </w:rPr>
      </w:pPr>
      <w:r w:rsidRPr="004D3AE6">
        <w:rPr>
          <w:b/>
          <w:bCs/>
        </w:rPr>
        <w:lastRenderedPageBreak/>
        <w:t xml:space="preserve">b)  </w:t>
      </w:r>
      <w:bookmarkStart w:id="3" w:name="_Hlk126846078"/>
      <w:r w:rsidR="00D72556" w:rsidRPr="004D3AE6">
        <w:rPr>
          <w:b/>
          <w:bCs/>
        </w:rPr>
        <w:t xml:space="preserve">Type and </w:t>
      </w:r>
      <w:r w:rsidR="00C35FDA" w:rsidRPr="004D3AE6">
        <w:rPr>
          <w:b/>
          <w:bCs/>
        </w:rPr>
        <w:t xml:space="preserve">Number </w:t>
      </w:r>
      <w:r w:rsidR="00D72556" w:rsidRPr="004D3AE6">
        <w:rPr>
          <w:b/>
          <w:bCs/>
        </w:rPr>
        <w:t xml:space="preserve">of </w:t>
      </w:r>
      <w:r w:rsidR="00C35FDA" w:rsidRPr="004D3AE6">
        <w:rPr>
          <w:b/>
          <w:bCs/>
        </w:rPr>
        <w:t xml:space="preserve">Reasons for Report </w:t>
      </w:r>
      <w:r w:rsidR="001F29AE" w:rsidRPr="004D3AE6">
        <w:rPr>
          <w:b/>
          <w:bCs/>
        </w:rPr>
        <w:t>Deficiencies</w:t>
      </w:r>
      <w:r w:rsidR="00D72556" w:rsidRPr="004D3AE6">
        <w:rPr>
          <w:b/>
          <w:bCs/>
        </w:rPr>
        <w:t xml:space="preserve"> for System Reviews</w:t>
      </w:r>
      <w:r w:rsidR="00C35FDA" w:rsidRPr="004D3AE6">
        <w:rPr>
          <w:b/>
          <w:bCs/>
        </w:rPr>
        <w:t xml:space="preserve"> </w:t>
      </w:r>
      <w:bookmarkEnd w:id="3"/>
    </w:p>
    <w:p w14:paraId="387E3969" w14:textId="77777777" w:rsidR="00C35FDA" w:rsidRPr="00D3280E" w:rsidRDefault="00C35FDA" w:rsidP="00DE4D66">
      <w:pPr>
        <w:spacing w:after="0" w:line="240" w:lineRule="auto"/>
        <w:rPr>
          <w:sz w:val="20"/>
          <w:szCs w:val="20"/>
        </w:rPr>
      </w:pPr>
    </w:p>
    <w:tbl>
      <w:tblPr>
        <w:tblStyle w:val="TableGrid"/>
        <w:tblW w:w="7555" w:type="dxa"/>
        <w:jc w:val="center"/>
        <w:tblLook w:val="04A0" w:firstRow="1" w:lastRow="0" w:firstColumn="1" w:lastColumn="0" w:noHBand="0" w:noVBand="1"/>
      </w:tblPr>
      <w:tblGrid>
        <w:gridCol w:w="5732"/>
        <w:gridCol w:w="1823"/>
      </w:tblGrid>
      <w:tr w:rsidR="004E1D92" w:rsidRPr="009E07DB" w14:paraId="52416198" w14:textId="77777777" w:rsidTr="00637D55">
        <w:trPr>
          <w:trHeight w:val="1043"/>
          <w:jc w:val="center"/>
        </w:trPr>
        <w:tc>
          <w:tcPr>
            <w:tcW w:w="5732" w:type="dxa"/>
          </w:tcPr>
          <w:p w14:paraId="5D6D4F8D" w14:textId="77777777" w:rsidR="004E1D92" w:rsidRPr="00EA655A" w:rsidRDefault="004E1D92" w:rsidP="00DE4D66">
            <w:pPr>
              <w:spacing w:after="0" w:line="240" w:lineRule="auto"/>
              <w:jc w:val="center"/>
            </w:pPr>
            <w:bookmarkStart w:id="4" w:name="_Hlk126846109"/>
          </w:p>
        </w:tc>
        <w:tc>
          <w:tcPr>
            <w:tcW w:w="1823" w:type="dxa"/>
          </w:tcPr>
          <w:p w14:paraId="05CBB411" w14:textId="77777777" w:rsidR="004E1D92" w:rsidRPr="009E07DB" w:rsidRDefault="004E1D92" w:rsidP="00DE4D66">
            <w:pPr>
              <w:spacing w:after="0" w:line="240" w:lineRule="auto"/>
              <w:jc w:val="center"/>
              <w:rPr>
                <w:b/>
              </w:rPr>
            </w:pPr>
            <w:r w:rsidRPr="009E07DB">
              <w:rPr>
                <w:b/>
              </w:rPr>
              <w:t>AICPA Peer Review Program</w:t>
            </w:r>
          </w:p>
        </w:tc>
      </w:tr>
      <w:tr w:rsidR="004E1D92" w:rsidRPr="009E07DB" w14:paraId="2AD7EAED" w14:textId="77777777" w:rsidTr="00637D55">
        <w:trPr>
          <w:jc w:val="center"/>
        </w:trPr>
        <w:tc>
          <w:tcPr>
            <w:tcW w:w="5732" w:type="dxa"/>
          </w:tcPr>
          <w:p w14:paraId="3149E45A" w14:textId="77777777" w:rsidR="004E1D92" w:rsidRPr="009E07DB" w:rsidRDefault="004E1D92" w:rsidP="00DE4D66">
            <w:pPr>
              <w:spacing w:after="0" w:line="240" w:lineRule="auto"/>
              <w:jc w:val="left"/>
            </w:pPr>
            <w:r w:rsidRPr="009E07DB">
              <w:t>Leadership responsibilities for quality within the firm (“the tone at the top”)</w:t>
            </w:r>
          </w:p>
        </w:tc>
        <w:tc>
          <w:tcPr>
            <w:tcW w:w="1823" w:type="dxa"/>
          </w:tcPr>
          <w:p w14:paraId="3910B878" w14:textId="41057C24" w:rsidR="004E1D92" w:rsidRPr="009E07DB" w:rsidRDefault="008D173A" w:rsidP="00DE4D66">
            <w:pPr>
              <w:spacing w:after="0" w:line="240" w:lineRule="auto"/>
              <w:jc w:val="center"/>
            </w:pPr>
            <w:r>
              <w:t>2</w:t>
            </w:r>
          </w:p>
        </w:tc>
      </w:tr>
      <w:tr w:rsidR="004E1D92" w:rsidRPr="009E07DB" w14:paraId="36A6EFE0" w14:textId="77777777" w:rsidTr="00637D55">
        <w:trPr>
          <w:jc w:val="center"/>
        </w:trPr>
        <w:tc>
          <w:tcPr>
            <w:tcW w:w="5732" w:type="dxa"/>
          </w:tcPr>
          <w:p w14:paraId="385C44F7" w14:textId="77777777" w:rsidR="004E1D92" w:rsidRPr="009E07DB" w:rsidRDefault="004E1D92" w:rsidP="00DE4D66">
            <w:pPr>
              <w:spacing w:after="0" w:line="240" w:lineRule="auto"/>
              <w:jc w:val="left"/>
            </w:pPr>
            <w:r w:rsidRPr="009E07DB">
              <w:t>Relevant ethical requirements</w:t>
            </w:r>
          </w:p>
        </w:tc>
        <w:tc>
          <w:tcPr>
            <w:tcW w:w="1823" w:type="dxa"/>
          </w:tcPr>
          <w:p w14:paraId="7A3B27AB" w14:textId="392F6F69" w:rsidR="004E1D92" w:rsidRPr="009E07DB" w:rsidRDefault="004E1D92" w:rsidP="00DE4D66">
            <w:pPr>
              <w:spacing w:after="0" w:line="240" w:lineRule="auto"/>
              <w:jc w:val="center"/>
            </w:pPr>
            <w:r w:rsidRPr="009E07DB">
              <w:t>0</w:t>
            </w:r>
          </w:p>
        </w:tc>
      </w:tr>
      <w:tr w:rsidR="004E1D92" w:rsidRPr="009E07DB" w14:paraId="080CACA3" w14:textId="77777777" w:rsidTr="00637D55">
        <w:trPr>
          <w:jc w:val="center"/>
        </w:trPr>
        <w:tc>
          <w:tcPr>
            <w:tcW w:w="5732" w:type="dxa"/>
          </w:tcPr>
          <w:p w14:paraId="3D4D2F3B" w14:textId="77777777" w:rsidR="004E1D92" w:rsidRPr="009E07DB" w:rsidRDefault="004E1D92" w:rsidP="00DE4D66">
            <w:pPr>
              <w:spacing w:after="0" w:line="240" w:lineRule="auto"/>
              <w:jc w:val="left"/>
            </w:pPr>
            <w:r w:rsidRPr="009E07DB">
              <w:t>Acceptance and continuance of client relationships and specific engagements</w:t>
            </w:r>
          </w:p>
        </w:tc>
        <w:tc>
          <w:tcPr>
            <w:tcW w:w="1823" w:type="dxa"/>
          </w:tcPr>
          <w:p w14:paraId="556F46EC" w14:textId="02DF40EC" w:rsidR="004E1D92" w:rsidRPr="009E07DB" w:rsidRDefault="009E07DB" w:rsidP="00DE4D66">
            <w:pPr>
              <w:spacing w:after="0" w:line="240" w:lineRule="auto"/>
              <w:jc w:val="center"/>
            </w:pPr>
            <w:r w:rsidRPr="009E07DB">
              <w:t>0</w:t>
            </w:r>
          </w:p>
        </w:tc>
      </w:tr>
      <w:tr w:rsidR="004E1D92" w:rsidRPr="009E07DB" w14:paraId="50CA58BC" w14:textId="77777777" w:rsidTr="00637D55">
        <w:trPr>
          <w:jc w:val="center"/>
        </w:trPr>
        <w:tc>
          <w:tcPr>
            <w:tcW w:w="5732" w:type="dxa"/>
          </w:tcPr>
          <w:p w14:paraId="6947ACB9" w14:textId="77777777" w:rsidR="004E1D92" w:rsidRPr="009E07DB" w:rsidRDefault="004E1D92" w:rsidP="00DE4D66">
            <w:pPr>
              <w:spacing w:after="0" w:line="240" w:lineRule="auto"/>
              <w:jc w:val="left"/>
            </w:pPr>
            <w:r w:rsidRPr="009E07DB">
              <w:t>Human resources</w:t>
            </w:r>
          </w:p>
        </w:tc>
        <w:tc>
          <w:tcPr>
            <w:tcW w:w="1823" w:type="dxa"/>
          </w:tcPr>
          <w:p w14:paraId="69A8C572" w14:textId="14F0D37B" w:rsidR="004E1D92" w:rsidRPr="009E07DB" w:rsidRDefault="008D173A" w:rsidP="00DE4D66">
            <w:pPr>
              <w:spacing w:after="0" w:line="240" w:lineRule="auto"/>
              <w:jc w:val="center"/>
            </w:pPr>
            <w:r>
              <w:t>2</w:t>
            </w:r>
          </w:p>
        </w:tc>
      </w:tr>
      <w:tr w:rsidR="004E1D92" w:rsidRPr="009E07DB" w14:paraId="08B72E89" w14:textId="77777777" w:rsidTr="00637D55">
        <w:trPr>
          <w:jc w:val="center"/>
        </w:trPr>
        <w:tc>
          <w:tcPr>
            <w:tcW w:w="5732" w:type="dxa"/>
          </w:tcPr>
          <w:p w14:paraId="7DBB16DC" w14:textId="77777777" w:rsidR="004E1D92" w:rsidRPr="009E07DB" w:rsidRDefault="004E1D92" w:rsidP="00DE4D66">
            <w:pPr>
              <w:spacing w:after="0" w:line="240" w:lineRule="auto"/>
              <w:jc w:val="left"/>
            </w:pPr>
            <w:r w:rsidRPr="009E07DB">
              <w:t>Engagement performance</w:t>
            </w:r>
          </w:p>
        </w:tc>
        <w:tc>
          <w:tcPr>
            <w:tcW w:w="1823" w:type="dxa"/>
          </w:tcPr>
          <w:p w14:paraId="0D276D47" w14:textId="33A99098" w:rsidR="004E1D92" w:rsidRPr="009E07DB" w:rsidRDefault="0065294F" w:rsidP="00DE4D66">
            <w:pPr>
              <w:spacing w:after="0" w:line="240" w:lineRule="auto"/>
              <w:jc w:val="center"/>
            </w:pPr>
            <w:r>
              <w:t>6</w:t>
            </w:r>
          </w:p>
        </w:tc>
      </w:tr>
      <w:tr w:rsidR="004E1D92" w:rsidRPr="009E07DB" w14:paraId="3F07EA84" w14:textId="77777777" w:rsidTr="00637D55">
        <w:trPr>
          <w:jc w:val="center"/>
        </w:trPr>
        <w:tc>
          <w:tcPr>
            <w:tcW w:w="5732" w:type="dxa"/>
          </w:tcPr>
          <w:p w14:paraId="7680FCA2" w14:textId="77777777" w:rsidR="004E1D92" w:rsidRPr="009E07DB" w:rsidRDefault="004E1D92" w:rsidP="00DE4D66">
            <w:pPr>
              <w:spacing w:after="0" w:line="240" w:lineRule="auto"/>
              <w:jc w:val="left"/>
            </w:pPr>
            <w:r w:rsidRPr="009E07DB">
              <w:t>Monitoring</w:t>
            </w:r>
          </w:p>
        </w:tc>
        <w:tc>
          <w:tcPr>
            <w:tcW w:w="1823" w:type="dxa"/>
          </w:tcPr>
          <w:p w14:paraId="45FD59DF" w14:textId="4338328B" w:rsidR="004E1D92" w:rsidRPr="009E07DB" w:rsidRDefault="008D173A" w:rsidP="00DE4D66">
            <w:pPr>
              <w:spacing w:after="0" w:line="240" w:lineRule="auto"/>
              <w:jc w:val="center"/>
            </w:pPr>
            <w:r>
              <w:t>2</w:t>
            </w:r>
          </w:p>
        </w:tc>
      </w:tr>
      <w:tr w:rsidR="004E1D92" w:rsidRPr="00D72556" w14:paraId="66054FA1" w14:textId="77777777" w:rsidTr="00637D55">
        <w:trPr>
          <w:jc w:val="center"/>
        </w:trPr>
        <w:tc>
          <w:tcPr>
            <w:tcW w:w="5732" w:type="dxa"/>
          </w:tcPr>
          <w:p w14:paraId="2DBC8D9D" w14:textId="2C85F3F0" w:rsidR="004E1D92" w:rsidRPr="009E07DB" w:rsidRDefault="004E1D92" w:rsidP="00DE4D66">
            <w:pPr>
              <w:spacing w:after="0" w:line="240" w:lineRule="auto"/>
              <w:jc w:val="left"/>
              <w:rPr>
                <w:b/>
              </w:rPr>
            </w:pPr>
            <w:r w:rsidRPr="009E07DB">
              <w:rPr>
                <w:b/>
              </w:rPr>
              <w:t>Total</w:t>
            </w:r>
          </w:p>
        </w:tc>
        <w:tc>
          <w:tcPr>
            <w:tcW w:w="1823" w:type="dxa"/>
          </w:tcPr>
          <w:p w14:paraId="2DE896A0" w14:textId="53FC08C9" w:rsidR="004E1D92" w:rsidRPr="00D3280E" w:rsidRDefault="004E1D92" w:rsidP="00DE4D66">
            <w:pPr>
              <w:spacing w:after="0" w:line="240" w:lineRule="auto"/>
              <w:jc w:val="center"/>
              <w:rPr>
                <w:b/>
              </w:rPr>
            </w:pPr>
            <w:r w:rsidRPr="009E07DB">
              <w:rPr>
                <w:b/>
              </w:rPr>
              <w:t>1</w:t>
            </w:r>
            <w:r w:rsidR="008D173A">
              <w:rPr>
                <w:b/>
              </w:rPr>
              <w:t>2</w:t>
            </w:r>
          </w:p>
        </w:tc>
      </w:tr>
      <w:bookmarkEnd w:id="4"/>
    </w:tbl>
    <w:p w14:paraId="74CCC959" w14:textId="77777777" w:rsidR="00AB2866" w:rsidRDefault="00AB2866" w:rsidP="00DE4D66">
      <w:pPr>
        <w:spacing w:after="0" w:line="240" w:lineRule="auto"/>
      </w:pPr>
    </w:p>
    <w:p w14:paraId="7E798EC8" w14:textId="459785DE" w:rsidR="00C35FDA" w:rsidRPr="004D3AE6" w:rsidRDefault="006A653C" w:rsidP="004D3AE6">
      <w:pPr>
        <w:spacing w:after="0" w:line="240" w:lineRule="auto"/>
        <w:ind w:left="1170" w:hanging="270"/>
        <w:jc w:val="left"/>
        <w:rPr>
          <w:b/>
          <w:bCs/>
        </w:rPr>
      </w:pPr>
      <w:r w:rsidRPr="004D3AE6">
        <w:rPr>
          <w:b/>
          <w:bCs/>
        </w:rPr>
        <w:t xml:space="preserve">c)  </w:t>
      </w:r>
      <w:r w:rsidR="00C35FDA" w:rsidRPr="004D3AE6">
        <w:rPr>
          <w:b/>
          <w:bCs/>
        </w:rPr>
        <w:t xml:space="preserve">Number of Engagements Not Performed or Reported on in </w:t>
      </w:r>
      <w:r w:rsidR="008364F2" w:rsidRPr="004D3AE6">
        <w:rPr>
          <w:b/>
          <w:bCs/>
        </w:rPr>
        <w:t xml:space="preserve">Conformity </w:t>
      </w:r>
      <w:r w:rsidR="00C35FDA" w:rsidRPr="004D3AE6">
        <w:rPr>
          <w:b/>
          <w:bCs/>
        </w:rPr>
        <w:t>with Professional Standards in All Material Respects</w:t>
      </w:r>
      <w:r w:rsidR="0038307C" w:rsidRPr="004D3AE6">
        <w:rPr>
          <w:b/>
          <w:bCs/>
        </w:rPr>
        <w:t xml:space="preserve"> (Nonconforming engagements)</w:t>
      </w:r>
    </w:p>
    <w:p w14:paraId="186793F5" w14:textId="77777777" w:rsidR="00C35FDA" w:rsidRDefault="00C35FDA" w:rsidP="00DE4D66">
      <w:pPr>
        <w:spacing w:after="0" w:line="240" w:lineRule="auto"/>
        <w:ind w:left="360"/>
      </w:pPr>
    </w:p>
    <w:p w14:paraId="778F826D" w14:textId="1F26E578" w:rsidR="00215A23" w:rsidRDefault="006D0A95" w:rsidP="00DE4D66">
      <w:pPr>
        <w:spacing w:after="0" w:line="240" w:lineRule="auto"/>
        <w:ind w:left="360"/>
        <w:jc w:val="center"/>
      </w:pPr>
      <w:r w:rsidRPr="006D0A95">
        <w:rPr>
          <w:noProof/>
        </w:rPr>
        <w:drawing>
          <wp:inline distT="0" distB="0" distL="0" distR="0" wp14:anchorId="323DF6EC" wp14:editId="0707D4EA">
            <wp:extent cx="4552544" cy="3578696"/>
            <wp:effectExtent l="0" t="0" r="635" b="3175"/>
            <wp:docPr id="1840539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39383" name=""/>
                    <pic:cNvPicPr/>
                  </pic:nvPicPr>
                  <pic:blipFill>
                    <a:blip r:embed="rId8"/>
                    <a:stretch>
                      <a:fillRect/>
                    </a:stretch>
                  </pic:blipFill>
                  <pic:spPr>
                    <a:xfrm>
                      <a:off x="0" y="0"/>
                      <a:ext cx="4561165" cy="3585473"/>
                    </a:xfrm>
                    <a:prstGeom prst="rect">
                      <a:avLst/>
                    </a:prstGeom>
                  </pic:spPr>
                </pic:pic>
              </a:graphicData>
            </a:graphic>
          </wp:inline>
        </w:drawing>
      </w:r>
    </w:p>
    <w:p w14:paraId="13BF6FF1" w14:textId="32363DCE" w:rsidR="004D3AE6" w:rsidRDefault="004D3AE6" w:rsidP="00DE4D66">
      <w:pPr>
        <w:spacing w:after="0" w:line="240" w:lineRule="auto"/>
        <w:ind w:left="360"/>
        <w:jc w:val="center"/>
      </w:pPr>
    </w:p>
    <w:p w14:paraId="65EDC5BA" w14:textId="77777777" w:rsidR="004D3AE6" w:rsidRDefault="004D3AE6" w:rsidP="00DE4D66">
      <w:pPr>
        <w:spacing w:after="0" w:line="240" w:lineRule="auto"/>
        <w:ind w:left="360"/>
        <w:jc w:val="center"/>
      </w:pPr>
    </w:p>
    <w:p w14:paraId="7FE14740" w14:textId="0FFFE599" w:rsidR="00C35FDA" w:rsidRPr="004D3AE6" w:rsidRDefault="00C35FDA" w:rsidP="004D3AE6">
      <w:pPr>
        <w:spacing w:after="0" w:line="240" w:lineRule="auto"/>
        <w:ind w:left="1260" w:hanging="360"/>
        <w:jc w:val="left"/>
        <w:rPr>
          <w:b/>
          <w:bCs/>
        </w:rPr>
      </w:pPr>
      <w:r w:rsidRPr="004D3AE6">
        <w:rPr>
          <w:b/>
          <w:bCs/>
        </w:rPr>
        <w:t>d)  Summary of Required Follow-up Actions</w:t>
      </w:r>
      <w:r w:rsidR="00721C1E" w:rsidRPr="004D3AE6">
        <w:rPr>
          <w:b/>
          <w:bCs/>
        </w:rPr>
        <w:t xml:space="preserve"> </w:t>
      </w:r>
      <w:bookmarkStart w:id="5" w:name="_Hlk126846193"/>
      <w:r w:rsidR="00721C1E" w:rsidRPr="004D3AE6">
        <w:rPr>
          <w:b/>
          <w:bCs/>
        </w:rPr>
        <w:t>(includes corrective actions and implementation plans)</w:t>
      </w:r>
    </w:p>
    <w:bookmarkEnd w:id="5"/>
    <w:p w14:paraId="79DFB5A3" w14:textId="164826A1" w:rsidR="00191634" w:rsidRDefault="00191634" w:rsidP="00DE4D66">
      <w:pPr>
        <w:spacing w:after="0" w:line="240" w:lineRule="auto"/>
        <w:ind w:left="360"/>
      </w:pPr>
    </w:p>
    <w:tbl>
      <w:tblPr>
        <w:tblStyle w:val="TableGrid"/>
        <w:tblW w:w="7645" w:type="dxa"/>
        <w:jc w:val="center"/>
        <w:tblLook w:val="04A0" w:firstRow="1" w:lastRow="0" w:firstColumn="1" w:lastColumn="0" w:noHBand="0" w:noVBand="1"/>
      </w:tblPr>
      <w:tblGrid>
        <w:gridCol w:w="6025"/>
        <w:gridCol w:w="1620"/>
      </w:tblGrid>
      <w:tr w:rsidR="004E1D92" w:rsidRPr="009E07DB" w14:paraId="561FB6D8" w14:textId="77777777" w:rsidTr="004E1D92">
        <w:trPr>
          <w:jc w:val="center"/>
        </w:trPr>
        <w:tc>
          <w:tcPr>
            <w:tcW w:w="6025" w:type="dxa"/>
            <w:vAlign w:val="bottom"/>
          </w:tcPr>
          <w:p w14:paraId="328A3915" w14:textId="404764F5" w:rsidR="004E1D92" w:rsidRPr="009E07DB" w:rsidRDefault="004E1D92" w:rsidP="00DE4D66">
            <w:pPr>
              <w:spacing w:after="0" w:line="240" w:lineRule="auto"/>
              <w:jc w:val="left"/>
              <w:rPr>
                <w:rFonts w:cs="Arial"/>
                <w:b/>
              </w:rPr>
            </w:pPr>
            <w:bookmarkStart w:id="6" w:name="_Hlk126846224"/>
            <w:r w:rsidRPr="009E07DB">
              <w:rPr>
                <w:rFonts w:cs="Arial"/>
                <w:b/>
              </w:rPr>
              <w:t>Type of Follow-Up Action</w:t>
            </w:r>
          </w:p>
        </w:tc>
        <w:tc>
          <w:tcPr>
            <w:tcW w:w="1620" w:type="dxa"/>
            <w:vAlign w:val="bottom"/>
          </w:tcPr>
          <w:p w14:paraId="7BBCAA80" w14:textId="21957B72" w:rsidR="004E1D92" w:rsidRPr="009E07DB" w:rsidRDefault="004E1D92" w:rsidP="00DE4D66">
            <w:pPr>
              <w:spacing w:after="0" w:line="240" w:lineRule="auto"/>
              <w:jc w:val="center"/>
              <w:rPr>
                <w:rFonts w:cs="Arial"/>
                <w:b/>
              </w:rPr>
            </w:pPr>
            <w:r w:rsidRPr="009E07DB">
              <w:rPr>
                <w:rFonts w:cs="Arial"/>
                <w:b/>
              </w:rPr>
              <w:t>AICPA Peer Review Program</w:t>
            </w:r>
          </w:p>
        </w:tc>
      </w:tr>
      <w:tr w:rsidR="00EB34EC" w:rsidRPr="009E07DB" w14:paraId="0922CFF7" w14:textId="77777777" w:rsidTr="004E1D92">
        <w:trPr>
          <w:trHeight w:val="288"/>
          <w:jc w:val="center"/>
        </w:trPr>
        <w:tc>
          <w:tcPr>
            <w:tcW w:w="6025" w:type="dxa"/>
            <w:vAlign w:val="bottom"/>
          </w:tcPr>
          <w:p w14:paraId="19B6727C" w14:textId="35B74598" w:rsidR="00EB34EC" w:rsidRPr="009E07DB" w:rsidRDefault="00EB34EC" w:rsidP="00EB34EC">
            <w:pPr>
              <w:spacing w:after="0" w:line="240" w:lineRule="auto"/>
              <w:jc w:val="left"/>
              <w:rPr>
                <w:rFonts w:cs="Arial"/>
              </w:rPr>
            </w:pPr>
            <w:r>
              <w:rPr>
                <w:rFonts w:ascii="Aptos Narrow" w:hAnsi="Aptos Narrow"/>
                <w:color w:val="000000"/>
              </w:rPr>
              <w:t>Agree to Pre-issuance Review by TC/Outside Party</w:t>
            </w:r>
          </w:p>
        </w:tc>
        <w:tc>
          <w:tcPr>
            <w:tcW w:w="1620" w:type="dxa"/>
            <w:vAlign w:val="bottom"/>
          </w:tcPr>
          <w:p w14:paraId="0752C136" w14:textId="57C5AC34" w:rsidR="00EB34EC" w:rsidRPr="009E07DB" w:rsidRDefault="00CA3BCC" w:rsidP="00EB34EC">
            <w:pPr>
              <w:spacing w:after="0" w:line="240" w:lineRule="auto"/>
              <w:jc w:val="center"/>
              <w:rPr>
                <w:rFonts w:cs="Arial"/>
              </w:rPr>
            </w:pPr>
            <w:r>
              <w:rPr>
                <w:rFonts w:cs="Arial"/>
              </w:rPr>
              <w:t>4</w:t>
            </w:r>
          </w:p>
        </w:tc>
      </w:tr>
      <w:tr w:rsidR="00EB34EC" w:rsidRPr="009E07DB" w14:paraId="41640B13" w14:textId="77777777" w:rsidTr="004E1D92">
        <w:trPr>
          <w:trHeight w:val="288"/>
          <w:jc w:val="center"/>
        </w:trPr>
        <w:tc>
          <w:tcPr>
            <w:tcW w:w="6025" w:type="dxa"/>
            <w:vAlign w:val="bottom"/>
          </w:tcPr>
          <w:p w14:paraId="1790DC6C" w14:textId="63CA9E7B" w:rsidR="00EB34EC" w:rsidRPr="009E07DB" w:rsidRDefault="00EB34EC" w:rsidP="00EB34EC">
            <w:pPr>
              <w:spacing w:after="0" w:line="240" w:lineRule="auto"/>
              <w:jc w:val="left"/>
              <w:rPr>
                <w:rFonts w:cs="Arial"/>
              </w:rPr>
            </w:pPr>
            <w:r>
              <w:rPr>
                <w:rFonts w:ascii="Aptos Narrow" w:hAnsi="Aptos Narrow"/>
                <w:color w:val="000000"/>
              </w:rPr>
              <w:t>Other</w:t>
            </w:r>
          </w:p>
        </w:tc>
        <w:tc>
          <w:tcPr>
            <w:tcW w:w="1620" w:type="dxa"/>
            <w:vAlign w:val="bottom"/>
          </w:tcPr>
          <w:p w14:paraId="2B64DCB9" w14:textId="706AF400" w:rsidR="00EB34EC" w:rsidRPr="009E07DB" w:rsidRDefault="00EB34EC" w:rsidP="00EB34EC">
            <w:pPr>
              <w:spacing w:after="0" w:line="240" w:lineRule="auto"/>
              <w:jc w:val="center"/>
              <w:rPr>
                <w:rFonts w:cs="Arial"/>
              </w:rPr>
            </w:pPr>
            <w:r>
              <w:rPr>
                <w:rFonts w:ascii="Aptos Narrow" w:hAnsi="Aptos Narrow"/>
                <w:color w:val="000000"/>
              </w:rPr>
              <w:t>1</w:t>
            </w:r>
          </w:p>
        </w:tc>
      </w:tr>
      <w:tr w:rsidR="00EB34EC" w:rsidRPr="009E07DB" w14:paraId="79FC3113" w14:textId="77777777" w:rsidTr="004E1D92">
        <w:trPr>
          <w:trHeight w:val="288"/>
          <w:jc w:val="center"/>
        </w:trPr>
        <w:tc>
          <w:tcPr>
            <w:tcW w:w="6025" w:type="dxa"/>
            <w:vAlign w:val="bottom"/>
          </w:tcPr>
          <w:p w14:paraId="36099D49" w14:textId="1FE8D34D" w:rsidR="00EB34EC" w:rsidRPr="009E07DB" w:rsidRDefault="00EB34EC" w:rsidP="00EB34EC">
            <w:pPr>
              <w:spacing w:after="0" w:line="240" w:lineRule="auto"/>
              <w:jc w:val="left"/>
              <w:rPr>
                <w:rFonts w:cs="Arial"/>
              </w:rPr>
            </w:pPr>
            <w:r>
              <w:rPr>
                <w:rFonts w:ascii="Aptos Narrow" w:hAnsi="Aptos Narrow"/>
                <w:color w:val="000000"/>
              </w:rPr>
              <w:t>Request to Have Accelerated Review</w:t>
            </w:r>
          </w:p>
        </w:tc>
        <w:tc>
          <w:tcPr>
            <w:tcW w:w="1620" w:type="dxa"/>
            <w:vAlign w:val="bottom"/>
          </w:tcPr>
          <w:p w14:paraId="29E3DB01" w14:textId="340A6B3F" w:rsidR="00EB34EC" w:rsidRPr="009E07DB" w:rsidRDefault="00CA3BCC" w:rsidP="00EB34EC">
            <w:pPr>
              <w:spacing w:after="0" w:line="240" w:lineRule="auto"/>
              <w:jc w:val="center"/>
              <w:rPr>
                <w:rFonts w:cs="Arial"/>
              </w:rPr>
            </w:pPr>
            <w:r>
              <w:rPr>
                <w:rFonts w:cs="Arial"/>
              </w:rPr>
              <w:t>0</w:t>
            </w:r>
          </w:p>
        </w:tc>
      </w:tr>
      <w:tr w:rsidR="00EB34EC" w:rsidRPr="009E07DB" w14:paraId="3C5318F6" w14:textId="77777777" w:rsidTr="004E1D92">
        <w:trPr>
          <w:trHeight w:val="288"/>
          <w:jc w:val="center"/>
        </w:trPr>
        <w:tc>
          <w:tcPr>
            <w:tcW w:w="6025" w:type="dxa"/>
            <w:vAlign w:val="bottom"/>
          </w:tcPr>
          <w:p w14:paraId="5A1D283A" w14:textId="2C27F597" w:rsidR="00EB34EC" w:rsidRPr="009E07DB" w:rsidRDefault="00EB34EC" w:rsidP="00EB34EC">
            <w:pPr>
              <w:spacing w:after="0" w:line="240" w:lineRule="auto"/>
              <w:jc w:val="left"/>
              <w:rPr>
                <w:rFonts w:cs="Arial"/>
              </w:rPr>
            </w:pPr>
            <w:r>
              <w:rPr>
                <w:rFonts w:ascii="Aptos Narrow" w:hAnsi="Aptos Narrow"/>
                <w:color w:val="000000"/>
              </w:rPr>
              <w:t>Submit Monitoring Report to Team Captain/Outside Party for Review</w:t>
            </w:r>
          </w:p>
        </w:tc>
        <w:tc>
          <w:tcPr>
            <w:tcW w:w="1620" w:type="dxa"/>
            <w:vAlign w:val="bottom"/>
          </w:tcPr>
          <w:p w14:paraId="45B731A0" w14:textId="243C6CCE" w:rsidR="00EB34EC" w:rsidRPr="009E07DB" w:rsidRDefault="00CA3BCC" w:rsidP="00EB34EC">
            <w:pPr>
              <w:spacing w:after="0" w:line="240" w:lineRule="auto"/>
              <w:jc w:val="center"/>
              <w:rPr>
                <w:rFonts w:cs="Arial"/>
              </w:rPr>
            </w:pPr>
            <w:r>
              <w:rPr>
                <w:rFonts w:cs="Arial"/>
              </w:rPr>
              <w:t>1</w:t>
            </w:r>
          </w:p>
        </w:tc>
      </w:tr>
      <w:tr w:rsidR="00EB34EC" w:rsidRPr="009E07DB" w14:paraId="41A1419C" w14:textId="77777777" w:rsidTr="004E1D92">
        <w:trPr>
          <w:trHeight w:val="288"/>
          <w:jc w:val="center"/>
        </w:trPr>
        <w:tc>
          <w:tcPr>
            <w:tcW w:w="6025" w:type="dxa"/>
            <w:vAlign w:val="bottom"/>
          </w:tcPr>
          <w:p w14:paraId="24230225" w14:textId="6BDB88A8" w:rsidR="00EB34EC" w:rsidRPr="009E07DB" w:rsidRDefault="00EB34EC" w:rsidP="00EB34EC">
            <w:pPr>
              <w:spacing w:after="0" w:line="240" w:lineRule="auto"/>
              <w:jc w:val="left"/>
              <w:rPr>
                <w:rFonts w:cs="Arial"/>
              </w:rPr>
            </w:pPr>
            <w:r>
              <w:rPr>
                <w:rFonts w:ascii="Aptos Narrow" w:hAnsi="Aptos Narrow"/>
                <w:color w:val="000000"/>
              </w:rPr>
              <w:lastRenderedPageBreak/>
              <w:t>Submit Proof of Certain CPE Taken</w:t>
            </w:r>
          </w:p>
        </w:tc>
        <w:tc>
          <w:tcPr>
            <w:tcW w:w="1620" w:type="dxa"/>
            <w:vAlign w:val="bottom"/>
          </w:tcPr>
          <w:p w14:paraId="5F2E5C2F" w14:textId="2AE279A5" w:rsidR="00CA3BCC" w:rsidRPr="009E07DB" w:rsidRDefault="00CA3BCC" w:rsidP="00CA3BCC">
            <w:pPr>
              <w:spacing w:after="0" w:line="240" w:lineRule="auto"/>
              <w:jc w:val="center"/>
              <w:rPr>
                <w:rFonts w:cs="Arial"/>
              </w:rPr>
            </w:pPr>
            <w:r>
              <w:rPr>
                <w:rFonts w:cs="Arial"/>
              </w:rPr>
              <w:t>19</w:t>
            </w:r>
          </w:p>
        </w:tc>
      </w:tr>
      <w:tr w:rsidR="00EB34EC" w:rsidRPr="009E07DB" w14:paraId="0B402B22" w14:textId="77777777" w:rsidTr="004E1D92">
        <w:trPr>
          <w:trHeight w:val="288"/>
          <w:jc w:val="center"/>
        </w:trPr>
        <w:tc>
          <w:tcPr>
            <w:tcW w:w="6025" w:type="dxa"/>
            <w:vAlign w:val="bottom"/>
          </w:tcPr>
          <w:p w14:paraId="2386DDE9" w14:textId="4B1E5C1F" w:rsidR="00EB34EC" w:rsidRPr="009E07DB" w:rsidRDefault="00EB34EC" w:rsidP="00EB34EC">
            <w:pPr>
              <w:spacing w:after="0" w:line="240" w:lineRule="auto"/>
              <w:jc w:val="left"/>
              <w:rPr>
                <w:rFonts w:cs="Arial"/>
              </w:rPr>
            </w:pPr>
            <w:r>
              <w:rPr>
                <w:rFonts w:ascii="Aptos Narrow" w:hAnsi="Aptos Narrow"/>
                <w:color w:val="000000"/>
              </w:rPr>
              <w:t>Submit to TC/Outside Party Post-issuance Review of Subsequent Engagements w/o wp's</w:t>
            </w:r>
          </w:p>
        </w:tc>
        <w:tc>
          <w:tcPr>
            <w:tcW w:w="1620" w:type="dxa"/>
            <w:vAlign w:val="bottom"/>
          </w:tcPr>
          <w:p w14:paraId="66629BFC" w14:textId="530B27B5" w:rsidR="00CA3BCC" w:rsidRPr="009E07DB" w:rsidRDefault="00CA3BCC" w:rsidP="00CA3BCC">
            <w:pPr>
              <w:spacing w:after="0" w:line="240" w:lineRule="auto"/>
              <w:jc w:val="center"/>
              <w:rPr>
                <w:rFonts w:cs="Arial"/>
              </w:rPr>
            </w:pPr>
            <w:r>
              <w:rPr>
                <w:rFonts w:cs="Arial"/>
              </w:rPr>
              <w:t>0</w:t>
            </w:r>
          </w:p>
        </w:tc>
      </w:tr>
      <w:tr w:rsidR="00EB34EC" w:rsidRPr="009E07DB" w14:paraId="64361E18" w14:textId="77777777" w:rsidTr="004E1D92">
        <w:trPr>
          <w:trHeight w:val="288"/>
          <w:jc w:val="center"/>
        </w:trPr>
        <w:tc>
          <w:tcPr>
            <w:tcW w:w="6025" w:type="dxa"/>
            <w:vAlign w:val="bottom"/>
          </w:tcPr>
          <w:p w14:paraId="3A3B6E8D" w14:textId="1EFEB35E" w:rsidR="00EB34EC" w:rsidRPr="009E07DB" w:rsidRDefault="00EB34EC" w:rsidP="00EB34EC">
            <w:pPr>
              <w:spacing w:after="0" w:line="240" w:lineRule="auto"/>
              <w:jc w:val="left"/>
              <w:rPr>
                <w:rFonts w:cs="Arial"/>
              </w:rPr>
            </w:pPr>
            <w:r>
              <w:rPr>
                <w:rFonts w:ascii="Aptos Narrow" w:hAnsi="Aptos Narrow"/>
                <w:color w:val="000000"/>
              </w:rPr>
              <w:t>Submit to TC/Outside Party Post-issuance Review of Subsequent Engagements w/ wp's</w:t>
            </w:r>
          </w:p>
        </w:tc>
        <w:tc>
          <w:tcPr>
            <w:tcW w:w="1620" w:type="dxa"/>
            <w:vAlign w:val="bottom"/>
          </w:tcPr>
          <w:p w14:paraId="29CE43EA" w14:textId="720E9729" w:rsidR="00EB34EC" w:rsidRPr="009E07DB" w:rsidRDefault="00CA3BCC" w:rsidP="00EB34EC">
            <w:pPr>
              <w:spacing w:after="0" w:line="240" w:lineRule="auto"/>
              <w:jc w:val="center"/>
              <w:rPr>
                <w:rFonts w:cs="Arial"/>
              </w:rPr>
            </w:pPr>
            <w:r>
              <w:rPr>
                <w:rFonts w:cs="Arial"/>
              </w:rPr>
              <w:t>0</w:t>
            </w:r>
          </w:p>
        </w:tc>
      </w:tr>
      <w:tr w:rsidR="00EB34EC" w:rsidRPr="009E07DB" w14:paraId="132D8D68" w14:textId="77777777" w:rsidTr="004E1D92">
        <w:trPr>
          <w:trHeight w:val="288"/>
          <w:jc w:val="center"/>
        </w:trPr>
        <w:tc>
          <w:tcPr>
            <w:tcW w:w="6025" w:type="dxa"/>
            <w:vAlign w:val="bottom"/>
          </w:tcPr>
          <w:p w14:paraId="6F75011A" w14:textId="4FE3403D" w:rsidR="00EB34EC" w:rsidRPr="009E07DB" w:rsidRDefault="00EB34EC" w:rsidP="00EB34EC">
            <w:pPr>
              <w:spacing w:after="0" w:line="240" w:lineRule="auto"/>
              <w:jc w:val="left"/>
              <w:rPr>
                <w:rFonts w:cs="Arial"/>
              </w:rPr>
            </w:pPr>
            <w:r>
              <w:rPr>
                <w:rFonts w:ascii="Aptos Narrow" w:hAnsi="Aptos Narrow"/>
                <w:color w:val="000000"/>
              </w:rPr>
              <w:t>TC/Outside Party Review Correction of Non-Conforming Engagements</w:t>
            </w:r>
          </w:p>
        </w:tc>
        <w:tc>
          <w:tcPr>
            <w:tcW w:w="1620" w:type="dxa"/>
            <w:vAlign w:val="bottom"/>
          </w:tcPr>
          <w:p w14:paraId="124CB53C" w14:textId="44221473" w:rsidR="00EB34EC" w:rsidRPr="009E07DB" w:rsidRDefault="00CA3BCC" w:rsidP="00EB34EC">
            <w:pPr>
              <w:spacing w:after="0" w:line="240" w:lineRule="auto"/>
              <w:jc w:val="center"/>
              <w:rPr>
                <w:rFonts w:cs="Arial"/>
              </w:rPr>
            </w:pPr>
            <w:r>
              <w:rPr>
                <w:rFonts w:cs="Arial"/>
              </w:rPr>
              <w:t>0</w:t>
            </w:r>
          </w:p>
        </w:tc>
      </w:tr>
      <w:tr w:rsidR="00EB34EC" w:rsidRPr="009E07DB" w14:paraId="62C47757" w14:textId="77777777" w:rsidTr="004E1D92">
        <w:trPr>
          <w:trHeight w:val="288"/>
          <w:jc w:val="center"/>
        </w:trPr>
        <w:tc>
          <w:tcPr>
            <w:tcW w:w="6025" w:type="dxa"/>
            <w:vAlign w:val="bottom"/>
          </w:tcPr>
          <w:p w14:paraId="5AABD818" w14:textId="462F35B1" w:rsidR="00EB34EC" w:rsidRPr="009E07DB" w:rsidRDefault="00EB34EC" w:rsidP="00EB34EC">
            <w:pPr>
              <w:spacing w:after="0" w:line="240" w:lineRule="auto"/>
              <w:jc w:val="left"/>
              <w:rPr>
                <w:rFonts w:cs="Arial"/>
              </w:rPr>
            </w:pPr>
            <w:r>
              <w:rPr>
                <w:rFonts w:ascii="Aptos Narrow" w:hAnsi="Aptos Narrow"/>
                <w:color w:val="000000"/>
              </w:rPr>
              <w:t>TC/Outside Party to Review Firm's Remedial Actions in LOR</w:t>
            </w:r>
          </w:p>
        </w:tc>
        <w:tc>
          <w:tcPr>
            <w:tcW w:w="1620" w:type="dxa"/>
            <w:vAlign w:val="bottom"/>
          </w:tcPr>
          <w:p w14:paraId="198BB4B1" w14:textId="00BB684E" w:rsidR="00EB34EC" w:rsidRPr="009E07DB" w:rsidRDefault="00CA3BCC" w:rsidP="00EB34EC">
            <w:pPr>
              <w:spacing w:after="0" w:line="240" w:lineRule="auto"/>
              <w:jc w:val="center"/>
              <w:rPr>
                <w:rFonts w:cs="Arial"/>
              </w:rPr>
            </w:pPr>
            <w:r>
              <w:rPr>
                <w:rFonts w:cs="Arial"/>
              </w:rPr>
              <w:t>0</w:t>
            </w:r>
          </w:p>
        </w:tc>
      </w:tr>
      <w:tr w:rsidR="00EB34EC" w:rsidRPr="009E07DB" w14:paraId="45440A90" w14:textId="77777777" w:rsidTr="004E1D92">
        <w:trPr>
          <w:trHeight w:val="288"/>
          <w:jc w:val="center"/>
        </w:trPr>
        <w:tc>
          <w:tcPr>
            <w:tcW w:w="6025" w:type="dxa"/>
            <w:vAlign w:val="bottom"/>
          </w:tcPr>
          <w:p w14:paraId="591F852E" w14:textId="26982965" w:rsidR="00EB34EC" w:rsidRPr="00EB34EC" w:rsidRDefault="00EB34EC" w:rsidP="00EB34EC">
            <w:pPr>
              <w:spacing w:after="0" w:line="240" w:lineRule="auto"/>
              <w:jc w:val="left"/>
              <w:rPr>
                <w:rFonts w:cs="Arial"/>
                <w:b/>
                <w:bCs/>
              </w:rPr>
            </w:pPr>
            <w:r w:rsidRPr="00EB34EC">
              <w:rPr>
                <w:rFonts w:cs="Arial"/>
                <w:b/>
                <w:bCs/>
              </w:rPr>
              <w:t>Total</w:t>
            </w:r>
          </w:p>
        </w:tc>
        <w:tc>
          <w:tcPr>
            <w:tcW w:w="1620" w:type="dxa"/>
            <w:vAlign w:val="bottom"/>
          </w:tcPr>
          <w:p w14:paraId="5DE1D2CF" w14:textId="0475E276" w:rsidR="00EB34EC" w:rsidRPr="00EB34EC" w:rsidRDefault="00CA3BCC" w:rsidP="00EB34EC">
            <w:pPr>
              <w:spacing w:after="0" w:line="240" w:lineRule="auto"/>
              <w:jc w:val="center"/>
              <w:rPr>
                <w:rFonts w:cs="Arial"/>
                <w:b/>
                <w:bCs/>
              </w:rPr>
            </w:pPr>
            <w:r>
              <w:rPr>
                <w:rFonts w:cs="Arial"/>
                <w:b/>
                <w:bCs/>
              </w:rPr>
              <w:t>25</w:t>
            </w:r>
          </w:p>
        </w:tc>
      </w:tr>
      <w:bookmarkEnd w:id="6"/>
    </w:tbl>
    <w:p w14:paraId="68FE9E11" w14:textId="51FC3286" w:rsidR="00CF194E" w:rsidRDefault="00CF194E" w:rsidP="00DE4D66">
      <w:pPr>
        <w:spacing w:after="0" w:line="240" w:lineRule="auto"/>
        <w:ind w:left="360"/>
      </w:pPr>
    </w:p>
    <w:p w14:paraId="3B0FF26E" w14:textId="77777777" w:rsidR="00DE4D66" w:rsidRDefault="00DE4D66" w:rsidP="00DE4D66">
      <w:pPr>
        <w:spacing w:after="0" w:line="240" w:lineRule="auto"/>
        <w:jc w:val="center"/>
        <w:rPr>
          <w:b/>
          <w:bCs/>
        </w:rPr>
      </w:pPr>
      <w:bookmarkStart w:id="7" w:name="_Toc17105454"/>
    </w:p>
    <w:bookmarkEnd w:id="7"/>
    <w:p w14:paraId="04FB9665" w14:textId="6BC319E8" w:rsidR="00C35FDA" w:rsidRPr="004D3AE6" w:rsidRDefault="00DE4D66" w:rsidP="00BE7E0A">
      <w:pPr>
        <w:pStyle w:val="Heading3"/>
        <w:rPr>
          <w:b w:val="0"/>
          <w:bCs/>
        </w:rPr>
      </w:pPr>
      <w:r>
        <w:t>I</w:t>
      </w:r>
      <w:r w:rsidRPr="00BC607F">
        <w:t>II.</w:t>
      </w:r>
      <w:r w:rsidRPr="00BC607F">
        <w:tab/>
      </w:r>
      <w:r>
        <w:t>Oversight Process</w:t>
      </w:r>
      <w:r w:rsidR="00BE7E0A">
        <w:t xml:space="preserve"> and </w:t>
      </w:r>
      <w:r w:rsidR="00C35FDA" w:rsidRPr="004D3AE6">
        <w:rPr>
          <w:bCs/>
        </w:rPr>
        <w:t xml:space="preserve">Oversight Results </w:t>
      </w:r>
    </w:p>
    <w:p w14:paraId="42C54EFF" w14:textId="77777777" w:rsidR="00C35FDA" w:rsidRDefault="00C35FDA" w:rsidP="00DE4D66">
      <w:pPr>
        <w:spacing w:after="0" w:line="240" w:lineRule="auto"/>
      </w:pPr>
    </w:p>
    <w:p w14:paraId="26747038" w14:textId="77777777" w:rsidR="00C35FDA" w:rsidRDefault="00C35FDA" w:rsidP="004D3AE6">
      <w:pPr>
        <w:spacing w:after="0" w:line="240" w:lineRule="auto"/>
        <w:ind w:left="540" w:hanging="360"/>
      </w:pPr>
      <w:r>
        <w:tab/>
        <w:t xml:space="preserve">a)  Peer reviews </w:t>
      </w:r>
    </w:p>
    <w:p w14:paraId="5C01D72E" w14:textId="77777777" w:rsidR="00C35FDA" w:rsidRDefault="00C35FDA" w:rsidP="00DE4D66">
      <w:pPr>
        <w:spacing w:after="0" w:line="240" w:lineRule="auto"/>
        <w:ind w:left="360"/>
      </w:pPr>
    </w:p>
    <w:p w14:paraId="4DA8DA73" w14:textId="080E22B6" w:rsidR="00C35FDA" w:rsidRPr="00C01BBE" w:rsidRDefault="00C35FDA" w:rsidP="00DE4D66">
      <w:pPr>
        <w:spacing w:after="0" w:line="240" w:lineRule="auto"/>
        <w:ind w:left="360"/>
        <w:rPr>
          <w:u w:val="single"/>
        </w:rPr>
      </w:pPr>
      <w:r>
        <w:tab/>
      </w:r>
      <w:r w:rsidRPr="00C01BBE">
        <w:rPr>
          <w:u w:val="single"/>
        </w:rPr>
        <w:t xml:space="preserve">AICPA </w:t>
      </w:r>
      <w:r w:rsidR="00205875">
        <w:rPr>
          <w:u w:val="single"/>
        </w:rPr>
        <w:t>Peer Review Program</w:t>
      </w:r>
      <w:r w:rsidR="00205875" w:rsidRPr="00C01BBE">
        <w:rPr>
          <w:u w:val="single"/>
        </w:rPr>
        <w:t xml:space="preserve"> </w:t>
      </w:r>
      <w:r w:rsidRPr="00C01BBE">
        <w:rPr>
          <w:u w:val="single"/>
        </w:rPr>
        <w:t>Firms</w:t>
      </w:r>
    </w:p>
    <w:p w14:paraId="61D14657" w14:textId="77777777" w:rsidR="00C35FDA" w:rsidRDefault="00C35FDA" w:rsidP="00DE4D66">
      <w:pPr>
        <w:spacing w:after="0" w:line="240" w:lineRule="auto"/>
        <w:ind w:left="360"/>
      </w:pPr>
    </w:p>
    <w:tbl>
      <w:tblPr>
        <w:tblW w:w="6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3"/>
        <w:gridCol w:w="2064"/>
        <w:gridCol w:w="2064"/>
      </w:tblGrid>
      <w:tr w:rsidR="008353A0" w:rsidRPr="009E07DB" w14:paraId="77717CA2" w14:textId="3E9CB2F6" w:rsidTr="00E33AF9">
        <w:trPr>
          <w:jc w:val="center"/>
        </w:trPr>
        <w:tc>
          <w:tcPr>
            <w:tcW w:w="2573" w:type="dxa"/>
            <w:vAlign w:val="center"/>
          </w:tcPr>
          <w:p w14:paraId="52120B6B" w14:textId="07AF4172" w:rsidR="008353A0" w:rsidRPr="009E07DB" w:rsidRDefault="008353A0" w:rsidP="00DE4D66">
            <w:pPr>
              <w:spacing w:after="0" w:line="240" w:lineRule="auto"/>
              <w:jc w:val="center"/>
              <w:rPr>
                <w:b/>
              </w:rPr>
            </w:pPr>
            <w:r w:rsidRPr="009E07DB">
              <w:t>Type of Peer Review</w:t>
            </w:r>
          </w:p>
        </w:tc>
        <w:tc>
          <w:tcPr>
            <w:tcW w:w="2064" w:type="dxa"/>
          </w:tcPr>
          <w:p w14:paraId="342E63CB" w14:textId="4CDFDB23" w:rsidR="008353A0" w:rsidRPr="009E07DB" w:rsidRDefault="008353A0" w:rsidP="00DE4D66">
            <w:pPr>
              <w:spacing w:after="0" w:line="240" w:lineRule="auto"/>
              <w:jc w:val="center"/>
            </w:pPr>
            <w:r w:rsidRPr="009E07DB">
              <w:t>Must Select Engagement</w:t>
            </w:r>
          </w:p>
          <w:p w14:paraId="72B72774" w14:textId="0D1B7B81" w:rsidR="008353A0" w:rsidRPr="009E07DB" w:rsidRDefault="008353A0" w:rsidP="00DE4D66">
            <w:pPr>
              <w:spacing w:after="0" w:line="240" w:lineRule="auto"/>
              <w:jc w:val="center"/>
            </w:pPr>
            <w:r w:rsidRPr="009E07DB">
              <w:t>(</w:t>
            </w:r>
            <w:r w:rsidR="00367072" w:rsidRPr="009E07DB">
              <w:t xml:space="preserve">GAGAS, </w:t>
            </w:r>
            <w:r w:rsidRPr="009E07DB">
              <w:t xml:space="preserve">ERISA, FDICIA, </w:t>
            </w:r>
            <w:r w:rsidR="00367072" w:rsidRPr="009E07DB">
              <w:t>SOC</w:t>
            </w:r>
            <w:r w:rsidRPr="009E07DB">
              <w:t>)</w:t>
            </w:r>
          </w:p>
        </w:tc>
        <w:tc>
          <w:tcPr>
            <w:tcW w:w="2064" w:type="dxa"/>
            <w:vAlign w:val="center"/>
          </w:tcPr>
          <w:p w14:paraId="1C8A6C86" w14:textId="6CB4E678" w:rsidR="008353A0" w:rsidRPr="009E07DB" w:rsidRDefault="008353A0" w:rsidP="00DE4D66">
            <w:pPr>
              <w:spacing w:after="0" w:line="240" w:lineRule="auto"/>
              <w:jc w:val="center"/>
            </w:pPr>
            <w:r w:rsidRPr="009E07DB">
              <w:t>Total Oversights</w:t>
            </w:r>
          </w:p>
        </w:tc>
      </w:tr>
      <w:tr w:rsidR="008353A0" w:rsidRPr="009E07DB" w14:paraId="21E2C0FA" w14:textId="05720C67" w:rsidTr="00E33AF9">
        <w:trPr>
          <w:jc w:val="center"/>
        </w:trPr>
        <w:tc>
          <w:tcPr>
            <w:tcW w:w="2573" w:type="dxa"/>
          </w:tcPr>
          <w:p w14:paraId="57C7377B" w14:textId="219F7F36" w:rsidR="008353A0" w:rsidRPr="009E07DB" w:rsidRDefault="008353A0" w:rsidP="00DE4D66">
            <w:pPr>
              <w:spacing w:after="0" w:line="240" w:lineRule="auto"/>
            </w:pPr>
            <w:r w:rsidRPr="009E07DB">
              <w:t>System</w:t>
            </w:r>
          </w:p>
        </w:tc>
        <w:tc>
          <w:tcPr>
            <w:tcW w:w="2064" w:type="dxa"/>
          </w:tcPr>
          <w:p w14:paraId="10A8416E" w14:textId="6BE64778" w:rsidR="008353A0" w:rsidRPr="009E07DB" w:rsidRDefault="00E33AF9" w:rsidP="00DE4D66">
            <w:pPr>
              <w:spacing w:after="0" w:line="240" w:lineRule="auto"/>
              <w:jc w:val="center"/>
            </w:pPr>
            <w:r w:rsidRPr="009E07DB">
              <w:t>1</w:t>
            </w:r>
          </w:p>
        </w:tc>
        <w:tc>
          <w:tcPr>
            <w:tcW w:w="2064" w:type="dxa"/>
            <w:vAlign w:val="center"/>
          </w:tcPr>
          <w:p w14:paraId="035275FB" w14:textId="54E03CAD" w:rsidR="008353A0" w:rsidRPr="009E07DB" w:rsidRDefault="009E07DB" w:rsidP="00DE4D66">
            <w:pPr>
              <w:spacing w:after="0" w:line="240" w:lineRule="auto"/>
              <w:jc w:val="center"/>
            </w:pPr>
            <w:r w:rsidRPr="009E07DB">
              <w:t>2</w:t>
            </w:r>
          </w:p>
        </w:tc>
      </w:tr>
      <w:tr w:rsidR="008353A0" w14:paraId="7706CAC3" w14:textId="0D84D842" w:rsidTr="00E33AF9">
        <w:trPr>
          <w:jc w:val="center"/>
        </w:trPr>
        <w:tc>
          <w:tcPr>
            <w:tcW w:w="2573" w:type="dxa"/>
          </w:tcPr>
          <w:p w14:paraId="1311EA26" w14:textId="47FD9B8B" w:rsidR="008353A0" w:rsidRPr="009E07DB" w:rsidRDefault="008353A0" w:rsidP="00DE4D66">
            <w:pPr>
              <w:spacing w:after="0" w:line="240" w:lineRule="auto"/>
            </w:pPr>
            <w:r w:rsidRPr="009E07DB">
              <w:t>Engagement</w:t>
            </w:r>
          </w:p>
        </w:tc>
        <w:tc>
          <w:tcPr>
            <w:tcW w:w="2064" w:type="dxa"/>
          </w:tcPr>
          <w:p w14:paraId="3150778B" w14:textId="6E91FD75" w:rsidR="008353A0" w:rsidRPr="009E07DB" w:rsidRDefault="00531798" w:rsidP="00DE4D66">
            <w:pPr>
              <w:spacing w:after="0" w:line="240" w:lineRule="auto"/>
              <w:jc w:val="center"/>
            </w:pPr>
            <w:r>
              <w:t>0</w:t>
            </w:r>
          </w:p>
        </w:tc>
        <w:tc>
          <w:tcPr>
            <w:tcW w:w="2064" w:type="dxa"/>
            <w:vAlign w:val="center"/>
          </w:tcPr>
          <w:p w14:paraId="3C6906B0" w14:textId="4ED99592" w:rsidR="008353A0" w:rsidRDefault="009E07DB" w:rsidP="00DE4D66">
            <w:pPr>
              <w:spacing w:after="0" w:line="240" w:lineRule="auto"/>
              <w:jc w:val="center"/>
            </w:pPr>
            <w:r w:rsidRPr="009E07DB">
              <w:t>2</w:t>
            </w:r>
          </w:p>
        </w:tc>
      </w:tr>
    </w:tbl>
    <w:p w14:paraId="5FEEEFEE" w14:textId="77777777" w:rsidR="00C35FDA" w:rsidRDefault="00C35FDA" w:rsidP="00DE4D66">
      <w:pPr>
        <w:spacing w:after="0" w:line="240" w:lineRule="auto"/>
        <w:ind w:left="360"/>
      </w:pPr>
    </w:p>
    <w:p w14:paraId="528C81C9" w14:textId="180B2634" w:rsidR="00367072" w:rsidRDefault="00C35FDA" w:rsidP="00DE4D66">
      <w:pPr>
        <w:spacing w:after="0" w:line="240" w:lineRule="auto"/>
        <w:ind w:left="360"/>
      </w:pPr>
      <w:r>
        <w:tab/>
      </w:r>
    </w:p>
    <w:p w14:paraId="3C1667E2" w14:textId="32390AED" w:rsidR="00C35FDA" w:rsidRDefault="001F29AE" w:rsidP="004D3AE6">
      <w:pPr>
        <w:spacing w:after="0" w:line="240" w:lineRule="auto"/>
        <w:ind w:left="360" w:firstLine="180"/>
      </w:pPr>
      <w:r>
        <w:t>b</w:t>
      </w:r>
      <w:r w:rsidR="00C35FDA">
        <w:t xml:space="preserve">)  </w:t>
      </w:r>
      <w:r w:rsidR="00D853D4">
        <w:t>Oversight Performed on the AE</w:t>
      </w:r>
    </w:p>
    <w:p w14:paraId="5164F692" w14:textId="29541C07" w:rsidR="00637D55" w:rsidRDefault="00637D55" w:rsidP="00DE4D66">
      <w:pPr>
        <w:spacing w:after="0" w:line="240" w:lineRule="auto"/>
        <w:ind w:left="360"/>
      </w:pPr>
    </w:p>
    <w:tbl>
      <w:tblPr>
        <w:tblW w:w="8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8"/>
        <w:gridCol w:w="3553"/>
      </w:tblGrid>
      <w:tr w:rsidR="00637D55" w14:paraId="501C806F" w14:textId="77777777" w:rsidTr="00637D55">
        <w:trPr>
          <w:jc w:val="center"/>
        </w:trPr>
        <w:tc>
          <w:tcPr>
            <w:tcW w:w="4468" w:type="dxa"/>
            <w:vAlign w:val="center"/>
          </w:tcPr>
          <w:p w14:paraId="6BA691F1" w14:textId="14A7B9A2" w:rsidR="00637D55" w:rsidRPr="009E07DB" w:rsidRDefault="00637D55" w:rsidP="00DE4D66">
            <w:pPr>
              <w:spacing w:after="0" w:line="240" w:lineRule="auto"/>
              <w:jc w:val="center"/>
              <w:rPr>
                <w:b/>
                <w:bCs/>
              </w:rPr>
            </w:pPr>
            <w:r w:rsidRPr="009E07DB">
              <w:rPr>
                <w:b/>
                <w:bCs/>
              </w:rPr>
              <w:t>Date of Last Administrative Oversight Performed by AICPA Oversight Task Force</w:t>
            </w:r>
          </w:p>
        </w:tc>
        <w:tc>
          <w:tcPr>
            <w:tcW w:w="3553" w:type="dxa"/>
            <w:vAlign w:val="center"/>
          </w:tcPr>
          <w:p w14:paraId="4D36F331" w14:textId="5E0975B5" w:rsidR="00637D55" w:rsidRDefault="00EB34EC" w:rsidP="00DE4D66">
            <w:pPr>
              <w:spacing w:after="0" w:line="240" w:lineRule="auto"/>
              <w:jc w:val="center"/>
            </w:pPr>
            <w:r>
              <w:t>September 18-20, 2024</w:t>
            </w:r>
          </w:p>
        </w:tc>
      </w:tr>
    </w:tbl>
    <w:p w14:paraId="1AC3FBFB" w14:textId="77777777" w:rsidR="00637D55" w:rsidRDefault="00637D55" w:rsidP="00DE4D66">
      <w:pPr>
        <w:spacing w:after="0" w:line="240" w:lineRule="auto"/>
        <w:ind w:left="360"/>
      </w:pPr>
    </w:p>
    <w:p w14:paraId="429C19E0" w14:textId="77777777" w:rsidR="00C35FDA" w:rsidRDefault="00C35FDA" w:rsidP="00DE4D66">
      <w:pPr>
        <w:spacing w:after="0" w:line="240" w:lineRule="auto"/>
      </w:pPr>
    </w:p>
    <w:p w14:paraId="726A9B67" w14:textId="223BE34A" w:rsidR="00581932" w:rsidRDefault="00581932" w:rsidP="00A21F00">
      <w:pPr>
        <w:spacing w:after="0" w:line="240" w:lineRule="auto"/>
        <w:ind w:left="540"/>
        <w:jc w:val="left"/>
      </w:pPr>
      <w:r>
        <w:t xml:space="preserve">The results of our </w:t>
      </w:r>
      <w:r w:rsidR="00D36F6B">
        <w:t xml:space="preserve">most recent </w:t>
      </w:r>
      <w:r>
        <w:t xml:space="preserve">oversight performed by the AICPA Oversight Task Force, which covers only the AICPA Peer Review Program, are available on the </w:t>
      </w:r>
      <w:hyperlink r:id="rId9" w:history="1">
        <w:r w:rsidRPr="00581932">
          <w:rPr>
            <w:rStyle w:val="Hyperlink"/>
          </w:rPr>
          <w:t>AICPA’s website</w:t>
        </w:r>
      </w:hyperlink>
      <w:r>
        <w:t>.</w:t>
      </w:r>
    </w:p>
    <w:sectPr w:rsidR="00581932" w:rsidSect="00AF1B9A">
      <w:footerReference w:type="default" r:id="rId1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D9F3B" w14:textId="77777777" w:rsidR="007B02E2" w:rsidRDefault="007B02E2">
      <w:pPr>
        <w:spacing w:after="0" w:line="240" w:lineRule="auto"/>
      </w:pPr>
      <w:r>
        <w:separator/>
      </w:r>
    </w:p>
  </w:endnote>
  <w:endnote w:type="continuationSeparator" w:id="0">
    <w:p w14:paraId="524C2785" w14:textId="77777777" w:rsidR="007B02E2" w:rsidRDefault="007B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700010"/>
      <w:docPartObj>
        <w:docPartGallery w:val="Page Numbers (Bottom of Page)"/>
        <w:docPartUnique/>
      </w:docPartObj>
    </w:sdtPr>
    <w:sdtEndPr>
      <w:rPr>
        <w:noProof/>
      </w:rPr>
    </w:sdtEndPr>
    <w:sdtContent>
      <w:p w14:paraId="3F68B810" w14:textId="17C8AF3B" w:rsidR="00AF1B9A" w:rsidRDefault="00AF1B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AA7ED5" w14:textId="77777777" w:rsidR="00AF1B9A" w:rsidRDefault="00AF1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C456" w14:textId="77777777" w:rsidR="007B02E2" w:rsidRDefault="007B02E2">
      <w:pPr>
        <w:spacing w:after="0" w:line="240" w:lineRule="auto"/>
      </w:pPr>
      <w:r>
        <w:separator/>
      </w:r>
    </w:p>
  </w:footnote>
  <w:footnote w:type="continuationSeparator" w:id="0">
    <w:p w14:paraId="6B7D7F4F" w14:textId="77777777" w:rsidR="007B02E2" w:rsidRDefault="007B0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513"/>
    <w:multiLevelType w:val="hybridMultilevel"/>
    <w:tmpl w:val="39280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2C90"/>
    <w:multiLevelType w:val="hybridMultilevel"/>
    <w:tmpl w:val="BBBA65F8"/>
    <w:lvl w:ilvl="0" w:tplc="E23471D0">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12A26"/>
    <w:multiLevelType w:val="hybridMultilevel"/>
    <w:tmpl w:val="FB5CA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133AF"/>
    <w:multiLevelType w:val="hybridMultilevel"/>
    <w:tmpl w:val="1902A1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3B6F0A"/>
    <w:multiLevelType w:val="hybridMultilevel"/>
    <w:tmpl w:val="2FECB550"/>
    <w:lvl w:ilvl="0" w:tplc="5C1871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C6027"/>
    <w:multiLevelType w:val="hybridMultilevel"/>
    <w:tmpl w:val="E0A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E0248"/>
    <w:multiLevelType w:val="hybridMultilevel"/>
    <w:tmpl w:val="848C7A80"/>
    <w:lvl w:ilvl="0" w:tplc="5C187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6E3803"/>
    <w:multiLevelType w:val="hybridMultilevel"/>
    <w:tmpl w:val="BDF25C4A"/>
    <w:lvl w:ilvl="0" w:tplc="13FAC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146EB5"/>
    <w:multiLevelType w:val="hybridMultilevel"/>
    <w:tmpl w:val="F9FCCE50"/>
    <w:lvl w:ilvl="0" w:tplc="5C18716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A5D2307"/>
    <w:multiLevelType w:val="hybridMultilevel"/>
    <w:tmpl w:val="D2D49C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AE1EF1"/>
    <w:multiLevelType w:val="hybridMultilevel"/>
    <w:tmpl w:val="8D54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02F55"/>
    <w:multiLevelType w:val="hybridMultilevel"/>
    <w:tmpl w:val="1A8E3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E6161C"/>
    <w:multiLevelType w:val="hybridMultilevel"/>
    <w:tmpl w:val="D178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566633">
    <w:abstractNumId w:val="8"/>
  </w:num>
  <w:num w:numId="2" w16cid:durableId="394667428">
    <w:abstractNumId w:val="5"/>
  </w:num>
  <w:num w:numId="3" w16cid:durableId="1599168242">
    <w:abstractNumId w:val="12"/>
  </w:num>
  <w:num w:numId="4" w16cid:durableId="1889687014">
    <w:abstractNumId w:val="11"/>
  </w:num>
  <w:num w:numId="5" w16cid:durableId="1789854758">
    <w:abstractNumId w:val="6"/>
  </w:num>
  <w:num w:numId="6" w16cid:durableId="1320840741">
    <w:abstractNumId w:val="4"/>
  </w:num>
  <w:num w:numId="7" w16cid:durableId="694383976">
    <w:abstractNumId w:val="2"/>
  </w:num>
  <w:num w:numId="8" w16cid:durableId="631134850">
    <w:abstractNumId w:val="1"/>
  </w:num>
  <w:num w:numId="9" w16cid:durableId="1340346889">
    <w:abstractNumId w:val="3"/>
  </w:num>
  <w:num w:numId="10" w16cid:durableId="8024259">
    <w:abstractNumId w:val="9"/>
  </w:num>
  <w:num w:numId="11" w16cid:durableId="353309409">
    <w:abstractNumId w:val="10"/>
  </w:num>
  <w:num w:numId="12" w16cid:durableId="1924101774">
    <w:abstractNumId w:val="0"/>
  </w:num>
  <w:num w:numId="13" w16cid:durableId="54593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DA"/>
    <w:rsid w:val="00027010"/>
    <w:rsid w:val="00040242"/>
    <w:rsid w:val="0006204B"/>
    <w:rsid w:val="00076D83"/>
    <w:rsid w:val="00082820"/>
    <w:rsid w:val="0009204C"/>
    <w:rsid w:val="000A2AF5"/>
    <w:rsid w:val="000C597B"/>
    <w:rsid w:val="000D1579"/>
    <w:rsid w:val="000D5E8C"/>
    <w:rsid w:val="000E33A1"/>
    <w:rsid w:val="000E69BF"/>
    <w:rsid w:val="0012513F"/>
    <w:rsid w:val="0013316B"/>
    <w:rsid w:val="00134F99"/>
    <w:rsid w:val="00147C13"/>
    <w:rsid w:val="001558D4"/>
    <w:rsid w:val="00164A46"/>
    <w:rsid w:val="00186A33"/>
    <w:rsid w:val="00191634"/>
    <w:rsid w:val="001A55D8"/>
    <w:rsid w:val="001B15E6"/>
    <w:rsid w:val="001B7AD7"/>
    <w:rsid w:val="001E5253"/>
    <w:rsid w:val="001F29AE"/>
    <w:rsid w:val="001F5D4A"/>
    <w:rsid w:val="0020186D"/>
    <w:rsid w:val="00205875"/>
    <w:rsid w:val="00215A23"/>
    <w:rsid w:val="00222ADC"/>
    <w:rsid w:val="0022415E"/>
    <w:rsid w:val="00241D10"/>
    <w:rsid w:val="00242E1E"/>
    <w:rsid w:val="00243576"/>
    <w:rsid w:val="002477FC"/>
    <w:rsid w:val="00254964"/>
    <w:rsid w:val="00270DCB"/>
    <w:rsid w:val="00282D6C"/>
    <w:rsid w:val="002B7CFC"/>
    <w:rsid w:val="002C29EA"/>
    <w:rsid w:val="002D524B"/>
    <w:rsid w:val="002E784D"/>
    <w:rsid w:val="002F5950"/>
    <w:rsid w:val="00304767"/>
    <w:rsid w:val="00304F30"/>
    <w:rsid w:val="0030596E"/>
    <w:rsid w:val="003122B8"/>
    <w:rsid w:val="003173A1"/>
    <w:rsid w:val="00320B14"/>
    <w:rsid w:val="00341411"/>
    <w:rsid w:val="00367072"/>
    <w:rsid w:val="0038307C"/>
    <w:rsid w:val="003842B1"/>
    <w:rsid w:val="003874CD"/>
    <w:rsid w:val="003D4FB5"/>
    <w:rsid w:val="003D559C"/>
    <w:rsid w:val="003E049E"/>
    <w:rsid w:val="003E5AB6"/>
    <w:rsid w:val="00400030"/>
    <w:rsid w:val="004004FA"/>
    <w:rsid w:val="00417B87"/>
    <w:rsid w:val="00436B9F"/>
    <w:rsid w:val="00442AEA"/>
    <w:rsid w:val="004723E5"/>
    <w:rsid w:val="0047548C"/>
    <w:rsid w:val="00481BDE"/>
    <w:rsid w:val="00496CBF"/>
    <w:rsid w:val="004B016B"/>
    <w:rsid w:val="004D3AE6"/>
    <w:rsid w:val="004D6C04"/>
    <w:rsid w:val="004D7158"/>
    <w:rsid w:val="004E1D92"/>
    <w:rsid w:val="00522CA3"/>
    <w:rsid w:val="00531798"/>
    <w:rsid w:val="0057799B"/>
    <w:rsid w:val="00581932"/>
    <w:rsid w:val="00584562"/>
    <w:rsid w:val="005A7039"/>
    <w:rsid w:val="005B6D2B"/>
    <w:rsid w:val="005C5F85"/>
    <w:rsid w:val="005E79F7"/>
    <w:rsid w:val="00603BDC"/>
    <w:rsid w:val="0062345D"/>
    <w:rsid w:val="00630094"/>
    <w:rsid w:val="00637D55"/>
    <w:rsid w:val="00652238"/>
    <w:rsid w:val="0065294F"/>
    <w:rsid w:val="006576D4"/>
    <w:rsid w:val="006672EA"/>
    <w:rsid w:val="00677C2A"/>
    <w:rsid w:val="00680C60"/>
    <w:rsid w:val="00680CCB"/>
    <w:rsid w:val="006843F5"/>
    <w:rsid w:val="006A3754"/>
    <w:rsid w:val="006A57C7"/>
    <w:rsid w:val="006A653C"/>
    <w:rsid w:val="006B31E1"/>
    <w:rsid w:val="006B50E4"/>
    <w:rsid w:val="006B5E54"/>
    <w:rsid w:val="006D0A95"/>
    <w:rsid w:val="006D5C88"/>
    <w:rsid w:val="006D7BF3"/>
    <w:rsid w:val="006E198C"/>
    <w:rsid w:val="006E5CCD"/>
    <w:rsid w:val="006F53B0"/>
    <w:rsid w:val="006F74E9"/>
    <w:rsid w:val="00721C1E"/>
    <w:rsid w:val="007400B1"/>
    <w:rsid w:val="00761E90"/>
    <w:rsid w:val="00780BA0"/>
    <w:rsid w:val="00787D26"/>
    <w:rsid w:val="007A6F7D"/>
    <w:rsid w:val="007B02E2"/>
    <w:rsid w:val="007B7958"/>
    <w:rsid w:val="007D292A"/>
    <w:rsid w:val="007E747B"/>
    <w:rsid w:val="007F3C16"/>
    <w:rsid w:val="008023B7"/>
    <w:rsid w:val="008035C5"/>
    <w:rsid w:val="0080490A"/>
    <w:rsid w:val="008353A0"/>
    <w:rsid w:val="008364F2"/>
    <w:rsid w:val="00837658"/>
    <w:rsid w:val="00842412"/>
    <w:rsid w:val="00855263"/>
    <w:rsid w:val="008553F0"/>
    <w:rsid w:val="00856CD0"/>
    <w:rsid w:val="00860AE2"/>
    <w:rsid w:val="00876071"/>
    <w:rsid w:val="00890999"/>
    <w:rsid w:val="008B22B0"/>
    <w:rsid w:val="008C6916"/>
    <w:rsid w:val="008D173A"/>
    <w:rsid w:val="008D57FF"/>
    <w:rsid w:val="00905EA6"/>
    <w:rsid w:val="00952900"/>
    <w:rsid w:val="009544AC"/>
    <w:rsid w:val="00954F62"/>
    <w:rsid w:val="00973123"/>
    <w:rsid w:val="009770BF"/>
    <w:rsid w:val="009A23B0"/>
    <w:rsid w:val="009A2E69"/>
    <w:rsid w:val="009B72B2"/>
    <w:rsid w:val="009E07DB"/>
    <w:rsid w:val="009F2FCB"/>
    <w:rsid w:val="00A029DB"/>
    <w:rsid w:val="00A21F00"/>
    <w:rsid w:val="00A23B74"/>
    <w:rsid w:val="00A2580E"/>
    <w:rsid w:val="00A36ACD"/>
    <w:rsid w:val="00A4463D"/>
    <w:rsid w:val="00A534BE"/>
    <w:rsid w:val="00A800F3"/>
    <w:rsid w:val="00A812AB"/>
    <w:rsid w:val="00A94A8D"/>
    <w:rsid w:val="00AB2866"/>
    <w:rsid w:val="00AE3E1E"/>
    <w:rsid w:val="00AE3E9D"/>
    <w:rsid w:val="00AF1A5B"/>
    <w:rsid w:val="00AF1B9A"/>
    <w:rsid w:val="00AF5585"/>
    <w:rsid w:val="00B043BF"/>
    <w:rsid w:val="00B13152"/>
    <w:rsid w:val="00B1403B"/>
    <w:rsid w:val="00B4613C"/>
    <w:rsid w:val="00B51168"/>
    <w:rsid w:val="00B661BF"/>
    <w:rsid w:val="00B81CF0"/>
    <w:rsid w:val="00B850F0"/>
    <w:rsid w:val="00B879F9"/>
    <w:rsid w:val="00B962D1"/>
    <w:rsid w:val="00BB1B30"/>
    <w:rsid w:val="00BB632B"/>
    <w:rsid w:val="00BC7D4A"/>
    <w:rsid w:val="00BD7C32"/>
    <w:rsid w:val="00BE7E0A"/>
    <w:rsid w:val="00BF0302"/>
    <w:rsid w:val="00BF03AE"/>
    <w:rsid w:val="00C13D27"/>
    <w:rsid w:val="00C23895"/>
    <w:rsid w:val="00C35FDA"/>
    <w:rsid w:val="00C36112"/>
    <w:rsid w:val="00C448C1"/>
    <w:rsid w:val="00C452F1"/>
    <w:rsid w:val="00C64B2D"/>
    <w:rsid w:val="00C65579"/>
    <w:rsid w:val="00C65B90"/>
    <w:rsid w:val="00C7383D"/>
    <w:rsid w:val="00C826CD"/>
    <w:rsid w:val="00C858E4"/>
    <w:rsid w:val="00C95609"/>
    <w:rsid w:val="00CA3507"/>
    <w:rsid w:val="00CA3BCC"/>
    <w:rsid w:val="00CB757A"/>
    <w:rsid w:val="00CD1E0A"/>
    <w:rsid w:val="00CF194E"/>
    <w:rsid w:val="00D07567"/>
    <w:rsid w:val="00D3280E"/>
    <w:rsid w:val="00D36F6B"/>
    <w:rsid w:val="00D61FE0"/>
    <w:rsid w:val="00D65E4A"/>
    <w:rsid w:val="00D719A2"/>
    <w:rsid w:val="00D72556"/>
    <w:rsid w:val="00D72789"/>
    <w:rsid w:val="00D82DDF"/>
    <w:rsid w:val="00D853D4"/>
    <w:rsid w:val="00D9686A"/>
    <w:rsid w:val="00D97DD7"/>
    <w:rsid w:val="00DA63FC"/>
    <w:rsid w:val="00DA7AAE"/>
    <w:rsid w:val="00DB075C"/>
    <w:rsid w:val="00DB4E8F"/>
    <w:rsid w:val="00DE4D66"/>
    <w:rsid w:val="00DF69E0"/>
    <w:rsid w:val="00E0435A"/>
    <w:rsid w:val="00E222F3"/>
    <w:rsid w:val="00E2489B"/>
    <w:rsid w:val="00E2495A"/>
    <w:rsid w:val="00E31DBA"/>
    <w:rsid w:val="00E33AF9"/>
    <w:rsid w:val="00E36E7A"/>
    <w:rsid w:val="00E437F9"/>
    <w:rsid w:val="00E66CAA"/>
    <w:rsid w:val="00E72FE7"/>
    <w:rsid w:val="00E81004"/>
    <w:rsid w:val="00E962C1"/>
    <w:rsid w:val="00EA0B95"/>
    <w:rsid w:val="00EA1740"/>
    <w:rsid w:val="00EA655A"/>
    <w:rsid w:val="00EB34EC"/>
    <w:rsid w:val="00EB3624"/>
    <w:rsid w:val="00EF2AC7"/>
    <w:rsid w:val="00EF32D3"/>
    <w:rsid w:val="00F12CCB"/>
    <w:rsid w:val="00F22476"/>
    <w:rsid w:val="00F25653"/>
    <w:rsid w:val="00F63B08"/>
    <w:rsid w:val="00F7708D"/>
    <w:rsid w:val="00F7740E"/>
    <w:rsid w:val="00F93439"/>
    <w:rsid w:val="00FA478D"/>
    <w:rsid w:val="00FD405B"/>
    <w:rsid w:val="00FD5525"/>
    <w:rsid w:val="00FE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170CC"/>
  <w15:chartTrackingRefBased/>
  <w15:docId w15:val="{438B4C24-F93A-4DEA-B68B-8DE6AF65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FDA"/>
    <w:pPr>
      <w:spacing w:after="200" w:line="276" w:lineRule="auto"/>
      <w:jc w:val="both"/>
    </w:pPr>
    <w:rPr>
      <w:rFonts w:ascii="Arial" w:hAnsi="Arial"/>
    </w:rPr>
  </w:style>
  <w:style w:type="paragraph" w:styleId="Heading1">
    <w:name w:val="heading 1"/>
    <w:aliases w:val="Heading"/>
    <w:basedOn w:val="Normal"/>
    <w:next w:val="Normal"/>
    <w:link w:val="Heading1Char"/>
    <w:uiPriority w:val="9"/>
    <w:qFormat/>
    <w:rsid w:val="00C35FDA"/>
    <w:pPr>
      <w:keepNext/>
      <w:keepLines/>
      <w:spacing w:before="480" w:after="0"/>
      <w:outlineLvl w:val="0"/>
    </w:pPr>
    <w:rPr>
      <w:rFonts w:eastAsiaTheme="majorEastAsia" w:cstheme="majorBidi"/>
      <w:b/>
      <w:bCs/>
      <w:szCs w:val="28"/>
    </w:rPr>
  </w:style>
  <w:style w:type="paragraph" w:styleId="Heading2">
    <w:name w:val="heading 2"/>
    <w:aliases w:val="Sub-heading"/>
    <w:basedOn w:val="Normal"/>
    <w:next w:val="Normal"/>
    <w:link w:val="Heading2Char"/>
    <w:uiPriority w:val="9"/>
    <w:unhideWhenUsed/>
    <w:qFormat/>
    <w:rsid w:val="00C35FDA"/>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autoRedefine/>
    <w:qFormat/>
    <w:rsid w:val="00BE7E0A"/>
    <w:pPr>
      <w:keepNext/>
      <w:spacing w:after="0" w:line="240" w:lineRule="auto"/>
      <w:ind w:left="720" w:hanging="720"/>
      <w:outlineLvl w:val="2"/>
    </w:pPr>
    <w:rPr>
      <w:b/>
      <w:color w:val="7030A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C35FDA"/>
    <w:rPr>
      <w:rFonts w:ascii="Arial" w:eastAsiaTheme="majorEastAsia" w:hAnsi="Arial" w:cstheme="majorBidi"/>
      <w:b/>
      <w:bCs/>
      <w:szCs w:val="28"/>
    </w:rPr>
  </w:style>
  <w:style w:type="character" w:customStyle="1" w:styleId="Heading2Char">
    <w:name w:val="Heading 2 Char"/>
    <w:aliases w:val="Sub-heading Char"/>
    <w:basedOn w:val="DefaultParagraphFont"/>
    <w:link w:val="Heading2"/>
    <w:uiPriority w:val="9"/>
    <w:rsid w:val="00C35FDA"/>
    <w:rPr>
      <w:rFonts w:ascii="Arial" w:eastAsiaTheme="majorEastAsia" w:hAnsi="Arial" w:cstheme="majorBidi"/>
      <w:b/>
      <w:bCs/>
      <w:szCs w:val="26"/>
    </w:rPr>
  </w:style>
  <w:style w:type="character" w:customStyle="1" w:styleId="Heading3Char">
    <w:name w:val="Heading 3 Char"/>
    <w:basedOn w:val="DefaultParagraphFont"/>
    <w:link w:val="Heading3"/>
    <w:rsid w:val="00BE7E0A"/>
    <w:rPr>
      <w:rFonts w:ascii="Arial" w:hAnsi="Arial"/>
      <w:b/>
      <w:color w:val="7030A0"/>
      <w:sz w:val="28"/>
    </w:rPr>
  </w:style>
  <w:style w:type="character" w:styleId="PageNumber">
    <w:name w:val="page number"/>
    <w:basedOn w:val="DefaultParagraphFont"/>
    <w:rsid w:val="00C35FDA"/>
  </w:style>
  <w:style w:type="paragraph" w:styleId="Footer">
    <w:name w:val="footer"/>
    <w:basedOn w:val="Normal"/>
    <w:link w:val="FooterChar"/>
    <w:uiPriority w:val="99"/>
    <w:rsid w:val="00C35FDA"/>
    <w:pPr>
      <w:tabs>
        <w:tab w:val="center" w:pos="4320"/>
        <w:tab w:val="right" w:pos="8640"/>
      </w:tabs>
    </w:pPr>
    <w:rPr>
      <w:rFonts w:ascii="CG Times (WN)" w:hAnsi="CG Times (WN)"/>
      <w:sz w:val="20"/>
    </w:rPr>
  </w:style>
  <w:style w:type="character" w:customStyle="1" w:styleId="FooterChar">
    <w:name w:val="Footer Char"/>
    <w:basedOn w:val="DefaultParagraphFont"/>
    <w:link w:val="Footer"/>
    <w:uiPriority w:val="99"/>
    <w:rsid w:val="00C35FDA"/>
    <w:rPr>
      <w:rFonts w:ascii="CG Times (WN)" w:hAnsi="CG Times (WN)"/>
      <w:sz w:val="20"/>
    </w:rPr>
  </w:style>
  <w:style w:type="character" w:styleId="CommentReference">
    <w:name w:val="annotation reference"/>
    <w:basedOn w:val="DefaultParagraphFont"/>
    <w:uiPriority w:val="99"/>
    <w:semiHidden/>
    <w:unhideWhenUsed/>
    <w:rsid w:val="00BD7C32"/>
    <w:rPr>
      <w:sz w:val="16"/>
      <w:szCs w:val="16"/>
    </w:rPr>
  </w:style>
  <w:style w:type="paragraph" w:styleId="CommentText">
    <w:name w:val="annotation text"/>
    <w:basedOn w:val="Normal"/>
    <w:link w:val="CommentTextChar"/>
    <w:uiPriority w:val="99"/>
    <w:semiHidden/>
    <w:unhideWhenUsed/>
    <w:rsid w:val="00BD7C32"/>
    <w:pPr>
      <w:spacing w:line="240" w:lineRule="auto"/>
    </w:pPr>
    <w:rPr>
      <w:sz w:val="20"/>
      <w:szCs w:val="20"/>
    </w:rPr>
  </w:style>
  <w:style w:type="character" w:customStyle="1" w:styleId="CommentTextChar">
    <w:name w:val="Comment Text Char"/>
    <w:basedOn w:val="DefaultParagraphFont"/>
    <w:link w:val="CommentText"/>
    <w:uiPriority w:val="99"/>
    <w:semiHidden/>
    <w:rsid w:val="00BD7C3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7C32"/>
    <w:rPr>
      <w:b/>
      <w:bCs/>
    </w:rPr>
  </w:style>
  <w:style w:type="character" w:customStyle="1" w:styleId="CommentSubjectChar">
    <w:name w:val="Comment Subject Char"/>
    <w:basedOn w:val="CommentTextChar"/>
    <w:link w:val="CommentSubject"/>
    <w:uiPriority w:val="99"/>
    <w:semiHidden/>
    <w:rsid w:val="00BD7C32"/>
    <w:rPr>
      <w:rFonts w:ascii="Arial" w:hAnsi="Arial"/>
      <w:b/>
      <w:bCs/>
      <w:sz w:val="20"/>
      <w:szCs w:val="20"/>
    </w:rPr>
  </w:style>
  <w:style w:type="paragraph" w:styleId="BalloonText">
    <w:name w:val="Balloon Text"/>
    <w:basedOn w:val="Normal"/>
    <w:link w:val="BalloonTextChar"/>
    <w:uiPriority w:val="99"/>
    <w:semiHidden/>
    <w:unhideWhenUsed/>
    <w:rsid w:val="00BD7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C32"/>
    <w:rPr>
      <w:rFonts w:ascii="Segoe UI" w:hAnsi="Segoe UI" w:cs="Segoe UI"/>
      <w:sz w:val="18"/>
      <w:szCs w:val="18"/>
    </w:rPr>
  </w:style>
  <w:style w:type="table" w:styleId="TableGrid">
    <w:name w:val="Table Grid"/>
    <w:basedOn w:val="TableNormal"/>
    <w:uiPriority w:val="39"/>
    <w:rsid w:val="00AB28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653"/>
    <w:pPr>
      <w:ind w:left="720"/>
      <w:contextualSpacing/>
    </w:pPr>
  </w:style>
  <w:style w:type="paragraph" w:styleId="Header">
    <w:name w:val="header"/>
    <w:basedOn w:val="Normal"/>
    <w:link w:val="HeaderChar"/>
    <w:uiPriority w:val="99"/>
    <w:unhideWhenUsed/>
    <w:rsid w:val="0027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CB"/>
    <w:rPr>
      <w:rFonts w:ascii="Arial" w:hAnsi="Arial"/>
    </w:rPr>
  </w:style>
  <w:style w:type="character" w:styleId="Hyperlink">
    <w:name w:val="Hyperlink"/>
    <w:basedOn w:val="DefaultParagraphFont"/>
    <w:uiPriority w:val="99"/>
    <w:unhideWhenUsed/>
    <w:rsid w:val="00581932"/>
    <w:rPr>
      <w:color w:val="0563C1" w:themeColor="hyperlink"/>
      <w:u w:val="single"/>
    </w:rPr>
  </w:style>
  <w:style w:type="character" w:styleId="UnresolvedMention">
    <w:name w:val="Unresolved Mention"/>
    <w:basedOn w:val="DefaultParagraphFont"/>
    <w:uiPriority w:val="99"/>
    <w:semiHidden/>
    <w:unhideWhenUsed/>
    <w:rsid w:val="00581932"/>
    <w:rPr>
      <w:color w:val="605E5C"/>
      <w:shd w:val="clear" w:color="auto" w:fill="E1DFDD"/>
    </w:rPr>
  </w:style>
  <w:style w:type="character" w:styleId="FollowedHyperlink">
    <w:name w:val="FollowedHyperlink"/>
    <w:basedOn w:val="DefaultParagraphFont"/>
    <w:uiPriority w:val="99"/>
    <w:semiHidden/>
    <w:unhideWhenUsed/>
    <w:rsid w:val="001331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75052">
      <w:bodyDiv w:val="1"/>
      <w:marLeft w:val="0"/>
      <w:marRight w:val="0"/>
      <w:marTop w:val="0"/>
      <w:marBottom w:val="0"/>
      <w:divBdr>
        <w:top w:val="none" w:sz="0" w:space="0" w:color="auto"/>
        <w:left w:val="none" w:sz="0" w:space="0" w:color="auto"/>
        <w:bottom w:val="none" w:sz="0" w:space="0" w:color="auto"/>
        <w:right w:val="none" w:sz="0" w:space="0" w:color="auto"/>
      </w:divBdr>
    </w:div>
    <w:div w:id="869223767">
      <w:bodyDiv w:val="1"/>
      <w:marLeft w:val="0"/>
      <w:marRight w:val="0"/>
      <w:marTop w:val="0"/>
      <w:marBottom w:val="0"/>
      <w:divBdr>
        <w:top w:val="none" w:sz="0" w:space="0" w:color="auto"/>
        <w:left w:val="none" w:sz="0" w:space="0" w:color="auto"/>
        <w:bottom w:val="none" w:sz="0" w:space="0" w:color="auto"/>
        <w:right w:val="none" w:sz="0" w:space="0" w:color="auto"/>
      </w:divBdr>
    </w:div>
    <w:div w:id="1065837445">
      <w:bodyDiv w:val="1"/>
      <w:marLeft w:val="0"/>
      <w:marRight w:val="0"/>
      <w:marTop w:val="0"/>
      <w:marBottom w:val="0"/>
      <w:divBdr>
        <w:top w:val="none" w:sz="0" w:space="0" w:color="auto"/>
        <w:left w:val="none" w:sz="0" w:space="0" w:color="auto"/>
        <w:bottom w:val="none" w:sz="0" w:space="0" w:color="auto"/>
        <w:right w:val="none" w:sz="0" w:space="0" w:color="auto"/>
      </w:divBdr>
    </w:div>
    <w:div w:id="1442337575">
      <w:bodyDiv w:val="1"/>
      <w:marLeft w:val="0"/>
      <w:marRight w:val="0"/>
      <w:marTop w:val="0"/>
      <w:marBottom w:val="0"/>
      <w:divBdr>
        <w:top w:val="none" w:sz="0" w:space="0" w:color="auto"/>
        <w:left w:val="none" w:sz="0" w:space="0" w:color="auto"/>
        <w:bottom w:val="none" w:sz="0" w:space="0" w:color="auto"/>
        <w:right w:val="none" w:sz="0" w:space="0" w:color="auto"/>
      </w:divBdr>
    </w:div>
    <w:div w:id="21243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aicpa.org/interestareas/peerreview/resources/transparency/oversight/oversightvisitresul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F06AF-8EF1-4D62-8E35-5DC129801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Volz</dc:creator>
  <cp:keywords/>
  <dc:description/>
  <cp:lastModifiedBy>Laura Harrison</cp:lastModifiedBy>
  <cp:revision>14</cp:revision>
  <dcterms:created xsi:type="dcterms:W3CDTF">2026-01-20T19:50:00Z</dcterms:created>
  <dcterms:modified xsi:type="dcterms:W3CDTF">2026-02-13T20:55:00Z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4f1e1250-5613-483d-98b6-2947622b7d6e</vt:lpwstr>
  </property>
</Properties>
</file>